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BCAF3" w14:textId="799B2348" w:rsidR="005007A7" w:rsidRPr="00074F4B" w:rsidRDefault="005007A7" w:rsidP="00BC0C9B">
      <w:pPr>
        <w:pStyle w:val="Nagwek"/>
        <w:spacing w:before="120" w:after="120" w:line="288" w:lineRule="auto"/>
        <w:ind w:left="0" w:firstLine="0"/>
        <w:rPr>
          <w:rFonts w:ascii="Open Sans" w:hAnsi="Open Sans" w:cs="Open Sans"/>
          <w:sz w:val="20"/>
          <w:szCs w:val="20"/>
        </w:rPr>
      </w:pPr>
      <w:r w:rsidRPr="00074F4B">
        <w:rPr>
          <w:rFonts w:ascii="Open Sans" w:hAnsi="Open Sans" w:cs="Open Sans"/>
          <w:sz w:val="20"/>
          <w:szCs w:val="20"/>
        </w:rPr>
        <w:t>Załącznik 1 do Instrukcji wypełniania wniosku o dofinansowanie</w:t>
      </w:r>
    </w:p>
    <w:p w14:paraId="4019AA24" w14:textId="1203F4EA" w:rsidR="004170C7" w:rsidRDefault="005205EC" w:rsidP="00BC0C9B">
      <w:pPr>
        <w:pStyle w:val="Tytu"/>
        <w:spacing w:before="480" w:after="240" w:line="288" w:lineRule="auto"/>
        <w:ind w:left="0" w:firstLine="0"/>
        <w:jc w:val="left"/>
        <w:rPr>
          <w:rFonts w:ascii="Open Sans" w:hAnsi="Open Sans" w:cs="Open Sans"/>
          <w:b/>
          <w:sz w:val="24"/>
          <w:szCs w:val="24"/>
        </w:rPr>
      </w:pPr>
      <w:r w:rsidRPr="005205EC">
        <w:rPr>
          <w:rFonts w:ascii="Open Sans" w:hAnsi="Open Sans" w:cs="Open Sans"/>
          <w:b/>
          <w:sz w:val="24"/>
          <w:szCs w:val="24"/>
        </w:rPr>
        <w:t>Zakres studium wykonalności (</w:t>
      </w:r>
      <w:proofErr w:type="spellStart"/>
      <w:r w:rsidRPr="005205EC">
        <w:rPr>
          <w:rFonts w:ascii="Open Sans" w:hAnsi="Open Sans" w:cs="Open Sans"/>
          <w:b/>
          <w:sz w:val="24"/>
          <w:szCs w:val="24"/>
        </w:rPr>
        <w:t>FEnIKS</w:t>
      </w:r>
      <w:proofErr w:type="spellEnd"/>
      <w:r w:rsidRPr="005205EC">
        <w:rPr>
          <w:rFonts w:ascii="Open Sans" w:hAnsi="Open Sans" w:cs="Open Sans"/>
          <w:b/>
          <w:sz w:val="24"/>
          <w:szCs w:val="24"/>
        </w:rPr>
        <w:t xml:space="preserve"> 2021-2027, priorytet FENX. 02 Wsparcie sektorów energetyka i środowisko z EFRR, działanie FENX. 02.05 Woda do spożycia) oraz dodatkowe założenia do analizy finansowej</w:t>
      </w:r>
      <w:r>
        <w:rPr>
          <w:rFonts w:ascii="Open Sans" w:hAnsi="Open Sans" w:cs="Open Sans"/>
          <w:b/>
          <w:sz w:val="24"/>
          <w:szCs w:val="24"/>
        </w:rPr>
        <w:t xml:space="preserve"> </w:t>
      </w:r>
    </w:p>
    <w:p w14:paraId="60023FF3" w14:textId="3DA1AAFE" w:rsidR="00074F4B" w:rsidRPr="00074F4B" w:rsidRDefault="00074F4B" w:rsidP="00BC0C9B">
      <w:pPr>
        <w:spacing w:line="288" w:lineRule="auto"/>
        <w:rPr>
          <w:rFonts w:ascii="Open Sans" w:hAnsi="Open Sans" w:cs="Open Sans"/>
          <w:b/>
        </w:rPr>
      </w:pPr>
      <w:r w:rsidRPr="00074F4B">
        <w:rPr>
          <w:rFonts w:ascii="Open Sans" w:hAnsi="Open Sans" w:cs="Open Sans"/>
          <w:b/>
        </w:rPr>
        <w:t>Zakres studium wykonalności</w:t>
      </w:r>
    </w:p>
    <w:p w14:paraId="4019AA26" w14:textId="77777777" w:rsidR="004170C7" w:rsidRPr="00074F4B" w:rsidRDefault="002B5A4C" w:rsidP="00BC0C9B">
      <w:pPr>
        <w:pStyle w:val="Nagwek1"/>
        <w:numPr>
          <w:ilvl w:val="0"/>
          <w:numId w:val="43"/>
        </w:numPr>
        <w:spacing w:line="288" w:lineRule="auto"/>
        <w:rPr>
          <w:rFonts w:ascii="Open Sans" w:hAnsi="Open Sans" w:cs="Open Sans"/>
          <w:sz w:val="22"/>
          <w:szCs w:val="22"/>
        </w:rPr>
      </w:pPr>
      <w:r w:rsidRPr="00074F4B">
        <w:rPr>
          <w:rFonts w:ascii="Open Sans" w:hAnsi="Open Sans" w:cs="Open Sans"/>
          <w:sz w:val="22"/>
          <w:szCs w:val="22"/>
        </w:rPr>
        <w:t>Podsumowanie danych na temat przedsięwzięcia</w:t>
      </w:r>
    </w:p>
    <w:p w14:paraId="4019AA27" w14:textId="32207600" w:rsidR="00BF1B62" w:rsidRPr="00074F4B" w:rsidRDefault="002B5A4C" w:rsidP="00BC0C9B">
      <w:pPr>
        <w:pStyle w:val="Akapitzlist"/>
        <w:numPr>
          <w:ilvl w:val="1"/>
          <w:numId w:val="2"/>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Wnioskodawca przedsięwzięcia</w:t>
      </w:r>
    </w:p>
    <w:p w14:paraId="4019AA28" w14:textId="26C3CB0C" w:rsidR="00ED5DAE" w:rsidRPr="00074F4B" w:rsidRDefault="002B5A4C" w:rsidP="00BC0C9B">
      <w:pPr>
        <w:pStyle w:val="Akapitzlist"/>
        <w:numPr>
          <w:ilvl w:val="1"/>
          <w:numId w:val="2"/>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Podmiot</w:t>
      </w:r>
      <w:r w:rsidR="00757BEE" w:rsidRPr="00074F4B">
        <w:rPr>
          <w:rFonts w:ascii="Open Sans" w:hAnsi="Open Sans" w:cs="Open Sans"/>
          <w:sz w:val="22"/>
        </w:rPr>
        <w:t>y</w:t>
      </w:r>
      <w:r w:rsidR="005F3358" w:rsidRPr="00074F4B">
        <w:rPr>
          <w:rFonts w:ascii="Open Sans" w:hAnsi="Open Sans" w:cs="Open Sans"/>
          <w:sz w:val="22"/>
        </w:rPr>
        <w:t xml:space="preserve"> </w:t>
      </w:r>
      <w:r w:rsidR="00757BEE" w:rsidRPr="00074F4B">
        <w:rPr>
          <w:rFonts w:ascii="Open Sans" w:hAnsi="Open Sans" w:cs="Open Sans"/>
          <w:sz w:val="22"/>
        </w:rPr>
        <w:t xml:space="preserve">odpowiedzialne </w:t>
      </w:r>
      <w:r w:rsidRPr="00074F4B">
        <w:rPr>
          <w:rFonts w:ascii="Open Sans" w:hAnsi="Open Sans" w:cs="Open Sans"/>
          <w:sz w:val="22"/>
        </w:rPr>
        <w:t xml:space="preserve">za </w:t>
      </w:r>
      <w:proofErr w:type="gramStart"/>
      <w:r w:rsidR="00ED5DAE" w:rsidRPr="00074F4B">
        <w:rPr>
          <w:rFonts w:ascii="Open Sans" w:hAnsi="Open Sans" w:cs="Open Sans"/>
          <w:sz w:val="22"/>
        </w:rPr>
        <w:t xml:space="preserve">realizację </w:t>
      </w:r>
      <w:r w:rsidRPr="00074F4B">
        <w:rPr>
          <w:rFonts w:ascii="Open Sans" w:hAnsi="Open Sans" w:cs="Open Sans"/>
          <w:sz w:val="22"/>
        </w:rPr>
        <w:t xml:space="preserve"> przedsięwzięcia</w:t>
      </w:r>
      <w:proofErr w:type="gramEnd"/>
      <w:r w:rsidRPr="00074F4B">
        <w:rPr>
          <w:rFonts w:ascii="Open Sans" w:hAnsi="Open Sans" w:cs="Open Sans"/>
          <w:sz w:val="22"/>
        </w:rPr>
        <w:t xml:space="preserve"> (</w:t>
      </w:r>
      <w:r w:rsidR="00757BEE" w:rsidRPr="00074F4B">
        <w:rPr>
          <w:rFonts w:ascii="Open Sans" w:hAnsi="Open Sans" w:cs="Open Sans"/>
          <w:sz w:val="22"/>
        </w:rPr>
        <w:t>b</w:t>
      </w:r>
      <w:r w:rsidRPr="00074F4B">
        <w:rPr>
          <w:rFonts w:ascii="Open Sans" w:hAnsi="Open Sans" w:cs="Open Sans"/>
          <w:sz w:val="22"/>
        </w:rPr>
        <w:t>eneficjent</w:t>
      </w:r>
      <w:r w:rsidR="00757BEE" w:rsidRPr="00074F4B">
        <w:rPr>
          <w:rFonts w:ascii="Open Sans" w:hAnsi="Open Sans" w:cs="Open Sans"/>
          <w:sz w:val="22"/>
        </w:rPr>
        <w:t xml:space="preserve">, </w:t>
      </w:r>
      <w:r w:rsidR="00004B55" w:rsidRPr="00074F4B">
        <w:rPr>
          <w:rFonts w:ascii="Open Sans" w:hAnsi="Open Sans" w:cs="Open Sans"/>
          <w:sz w:val="22"/>
        </w:rPr>
        <w:t>podmioty upoważnione do ponoszenia wydatków kwalifikowanych</w:t>
      </w:r>
      <w:r w:rsidR="00757BEE" w:rsidRPr="00074F4B">
        <w:rPr>
          <w:rFonts w:ascii="Open Sans" w:hAnsi="Open Sans" w:cs="Open Sans"/>
          <w:sz w:val="22"/>
        </w:rPr>
        <w:t xml:space="preserve"> – o ile dotyczy</w:t>
      </w:r>
      <w:r w:rsidRPr="00074F4B">
        <w:rPr>
          <w:rFonts w:ascii="Open Sans" w:hAnsi="Open Sans" w:cs="Open Sans"/>
          <w:sz w:val="22"/>
        </w:rPr>
        <w:t>)</w:t>
      </w:r>
    </w:p>
    <w:p w14:paraId="4019AA29" w14:textId="7FD729BF" w:rsidR="004170C7" w:rsidRPr="00074F4B" w:rsidRDefault="00ED5DAE" w:rsidP="00BC0C9B">
      <w:pPr>
        <w:pStyle w:val="Akapitzlist"/>
        <w:numPr>
          <w:ilvl w:val="2"/>
          <w:numId w:val="2"/>
        </w:numPr>
        <w:spacing w:before="120" w:after="120" w:line="288" w:lineRule="auto"/>
        <w:ind w:left="1134" w:hanging="567"/>
        <w:contextualSpacing w:val="0"/>
        <w:mirrorIndents/>
        <w:rPr>
          <w:rFonts w:ascii="Open Sans" w:hAnsi="Open Sans" w:cs="Open Sans"/>
          <w:sz w:val="22"/>
        </w:rPr>
      </w:pPr>
      <w:r w:rsidRPr="00074F4B">
        <w:rPr>
          <w:rFonts w:ascii="Open Sans" w:hAnsi="Open Sans" w:cs="Open Sans"/>
          <w:sz w:val="22"/>
        </w:rPr>
        <w:t>Potencjał techniczny, prawny, finansowy i administracyjny</w:t>
      </w:r>
      <w:r w:rsidR="00757BEE" w:rsidRPr="00074F4B">
        <w:rPr>
          <w:rFonts w:ascii="Open Sans" w:hAnsi="Open Sans" w:cs="Open Sans"/>
          <w:sz w:val="22"/>
        </w:rPr>
        <w:t xml:space="preserve"> beneficjenta</w:t>
      </w:r>
      <w:r w:rsidR="008B3C82" w:rsidRPr="00074F4B">
        <w:rPr>
          <w:rFonts w:ascii="Open Sans" w:hAnsi="Open Sans" w:cs="Open Sans"/>
          <w:sz w:val="22"/>
        </w:rPr>
        <w:t xml:space="preserve"> </w:t>
      </w:r>
      <w:proofErr w:type="spellStart"/>
      <w:r w:rsidR="008B3C82" w:rsidRPr="00074F4B">
        <w:rPr>
          <w:rFonts w:ascii="Open Sans" w:hAnsi="Open Sans" w:cs="Open Sans"/>
          <w:sz w:val="22"/>
        </w:rPr>
        <w:t>wtym</w:t>
      </w:r>
      <w:proofErr w:type="spellEnd"/>
      <w:r w:rsidR="008B3C82" w:rsidRPr="00074F4B">
        <w:rPr>
          <w:rFonts w:ascii="Open Sans" w:hAnsi="Open Sans" w:cs="Open Sans"/>
          <w:sz w:val="22"/>
        </w:rPr>
        <w:t xml:space="preserve"> doświadczenie w zakresie realizacji projektów infrastrukturalnych</w:t>
      </w:r>
    </w:p>
    <w:p w14:paraId="4019AA2A" w14:textId="7621A376" w:rsidR="00ED5DAE" w:rsidRPr="00074F4B" w:rsidRDefault="00004B55" w:rsidP="00BC0C9B">
      <w:pPr>
        <w:pStyle w:val="Akapitzlist"/>
        <w:numPr>
          <w:ilvl w:val="2"/>
          <w:numId w:val="2"/>
        </w:numPr>
        <w:spacing w:before="120" w:after="120" w:line="288" w:lineRule="auto"/>
        <w:ind w:left="1134" w:hanging="567"/>
        <w:contextualSpacing w:val="0"/>
        <w:mirrorIndents/>
        <w:rPr>
          <w:rFonts w:ascii="Open Sans" w:hAnsi="Open Sans" w:cs="Open Sans"/>
          <w:sz w:val="22"/>
        </w:rPr>
      </w:pPr>
      <w:r w:rsidRPr="00074F4B">
        <w:rPr>
          <w:rFonts w:ascii="Open Sans" w:hAnsi="Open Sans" w:cs="Open Sans"/>
          <w:sz w:val="22"/>
        </w:rPr>
        <w:t>Podmioty upoważnione do ponoszenia wydatków kwalifikowanych</w:t>
      </w:r>
      <w:r w:rsidR="00ED5DAE" w:rsidRPr="00074F4B">
        <w:rPr>
          <w:rFonts w:ascii="Open Sans" w:hAnsi="Open Sans" w:cs="Open Sans"/>
          <w:sz w:val="22"/>
        </w:rPr>
        <w:t xml:space="preserve"> (o ile dotyczy)</w:t>
      </w:r>
    </w:p>
    <w:p w14:paraId="4019AA2B" w14:textId="7CBD5177" w:rsidR="004170C7" w:rsidRPr="00074F4B" w:rsidRDefault="00DF7760" w:rsidP="00BC0C9B">
      <w:pPr>
        <w:pStyle w:val="Akapitzlist"/>
        <w:numPr>
          <w:ilvl w:val="1"/>
          <w:numId w:val="2"/>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Dane dotyczące przedsięwzięcia</w:t>
      </w:r>
    </w:p>
    <w:p w14:paraId="4019AA2C" w14:textId="708A3B6C" w:rsidR="004170C7" w:rsidRPr="00074F4B" w:rsidRDefault="00BF1A1F" w:rsidP="00BC0C9B">
      <w:pPr>
        <w:pStyle w:val="Akapitzlist"/>
        <w:numPr>
          <w:ilvl w:val="2"/>
          <w:numId w:val="2"/>
        </w:numPr>
        <w:spacing w:before="120" w:after="120" w:line="288" w:lineRule="auto"/>
        <w:ind w:left="1134" w:hanging="567"/>
        <w:contextualSpacing w:val="0"/>
        <w:mirrorIndents/>
        <w:rPr>
          <w:rFonts w:ascii="Open Sans" w:hAnsi="Open Sans" w:cs="Open Sans"/>
          <w:sz w:val="22"/>
        </w:rPr>
      </w:pPr>
      <w:r w:rsidRPr="00074F4B">
        <w:rPr>
          <w:rFonts w:ascii="Open Sans" w:hAnsi="Open Sans" w:cs="Open Sans"/>
          <w:sz w:val="22"/>
        </w:rPr>
        <w:t>T</w:t>
      </w:r>
      <w:r w:rsidR="00DF7760" w:rsidRPr="00074F4B">
        <w:rPr>
          <w:rFonts w:ascii="Open Sans" w:hAnsi="Open Sans" w:cs="Open Sans"/>
          <w:sz w:val="22"/>
        </w:rPr>
        <w:t>ytuł przedsięwzięcia</w:t>
      </w:r>
    </w:p>
    <w:p w14:paraId="4019AA2D" w14:textId="350D083A" w:rsidR="004170C7" w:rsidRPr="00074F4B" w:rsidRDefault="00BF1A1F" w:rsidP="00BC0C9B">
      <w:pPr>
        <w:pStyle w:val="Akapitzlist"/>
        <w:numPr>
          <w:ilvl w:val="2"/>
          <w:numId w:val="2"/>
        </w:numPr>
        <w:spacing w:before="120" w:after="120" w:line="288" w:lineRule="auto"/>
        <w:ind w:left="1134" w:hanging="567"/>
        <w:contextualSpacing w:val="0"/>
        <w:mirrorIndents/>
        <w:rPr>
          <w:rFonts w:ascii="Open Sans" w:hAnsi="Open Sans" w:cs="Open Sans"/>
          <w:sz w:val="22"/>
        </w:rPr>
      </w:pPr>
      <w:r w:rsidRPr="00074F4B">
        <w:rPr>
          <w:rFonts w:ascii="Open Sans" w:hAnsi="Open Sans" w:cs="Open Sans"/>
          <w:sz w:val="22"/>
        </w:rPr>
        <w:t>P</w:t>
      </w:r>
      <w:r w:rsidR="002B5A4C" w:rsidRPr="00074F4B">
        <w:rPr>
          <w:rFonts w:ascii="Open Sans" w:hAnsi="Open Sans" w:cs="Open Sans"/>
          <w:sz w:val="22"/>
        </w:rPr>
        <w:t xml:space="preserve">odstawowe niedobory </w:t>
      </w:r>
      <w:r w:rsidR="00A7639C" w:rsidRPr="00074F4B">
        <w:rPr>
          <w:rFonts w:ascii="Open Sans" w:hAnsi="Open Sans" w:cs="Open Sans"/>
          <w:sz w:val="22"/>
        </w:rPr>
        <w:t xml:space="preserve">istniejącego </w:t>
      </w:r>
      <w:r w:rsidR="002B5A4C" w:rsidRPr="00074F4B">
        <w:rPr>
          <w:rFonts w:ascii="Open Sans" w:hAnsi="Open Sans" w:cs="Open Sans"/>
          <w:sz w:val="22"/>
        </w:rPr>
        <w:t>systemu</w:t>
      </w:r>
    </w:p>
    <w:p w14:paraId="4019AA2E" w14:textId="3AEECD88" w:rsidR="004170C7" w:rsidRPr="00074F4B" w:rsidRDefault="002B5A4C" w:rsidP="00BC0C9B">
      <w:pPr>
        <w:pStyle w:val="Akapitzlist"/>
        <w:numPr>
          <w:ilvl w:val="2"/>
          <w:numId w:val="2"/>
        </w:numPr>
        <w:spacing w:before="120" w:after="120" w:line="288" w:lineRule="auto"/>
        <w:ind w:left="1134" w:hanging="567"/>
        <w:contextualSpacing w:val="0"/>
        <w:mirrorIndents/>
        <w:rPr>
          <w:rFonts w:ascii="Open Sans" w:hAnsi="Open Sans" w:cs="Open Sans"/>
          <w:sz w:val="22"/>
        </w:rPr>
      </w:pPr>
      <w:r w:rsidRPr="00074F4B">
        <w:rPr>
          <w:rFonts w:ascii="Open Sans" w:hAnsi="Open Sans" w:cs="Open Sans"/>
          <w:sz w:val="22"/>
        </w:rPr>
        <w:t>Cele przedsięwzięcia</w:t>
      </w:r>
      <w:r w:rsidR="009F474A" w:rsidRPr="00074F4B">
        <w:rPr>
          <w:rFonts w:ascii="Open Sans" w:hAnsi="Open Sans" w:cs="Open Sans"/>
          <w:sz w:val="22"/>
        </w:rPr>
        <w:t xml:space="preserve"> (cele muszą jednoznacznie wynikać ze zidentyfikowanych niedoborów) </w:t>
      </w:r>
    </w:p>
    <w:p w14:paraId="4019AA2F" w14:textId="07AFE861" w:rsidR="004170C7" w:rsidRPr="00074F4B" w:rsidRDefault="002B5A4C" w:rsidP="00BC0C9B">
      <w:pPr>
        <w:pStyle w:val="Akapitzlist"/>
        <w:numPr>
          <w:ilvl w:val="2"/>
          <w:numId w:val="2"/>
        </w:numPr>
        <w:spacing w:before="120" w:after="120" w:line="288" w:lineRule="auto"/>
        <w:ind w:left="1134" w:hanging="567"/>
        <w:contextualSpacing w:val="0"/>
        <w:mirrorIndents/>
        <w:rPr>
          <w:rFonts w:ascii="Open Sans" w:hAnsi="Open Sans" w:cs="Open Sans"/>
          <w:sz w:val="22"/>
        </w:rPr>
      </w:pPr>
      <w:r w:rsidRPr="00074F4B">
        <w:rPr>
          <w:rFonts w:ascii="Open Sans" w:hAnsi="Open Sans" w:cs="Open Sans"/>
          <w:sz w:val="22"/>
        </w:rPr>
        <w:t xml:space="preserve">Opis przedsięwzięcia, w tym zakres rzeczowy </w:t>
      </w:r>
      <w:r w:rsidR="00757BEE" w:rsidRPr="00074F4B">
        <w:rPr>
          <w:rFonts w:ascii="Open Sans" w:hAnsi="Open Sans" w:cs="Open Sans"/>
          <w:sz w:val="22"/>
        </w:rPr>
        <w:t>i koszt przedsięwzięcia</w:t>
      </w:r>
    </w:p>
    <w:p w14:paraId="4019AA30" w14:textId="5F0DE03A" w:rsidR="004170C7" w:rsidRPr="00074F4B" w:rsidRDefault="002B5A4C" w:rsidP="00BC0C9B">
      <w:pPr>
        <w:pStyle w:val="Akapitzlist"/>
        <w:numPr>
          <w:ilvl w:val="2"/>
          <w:numId w:val="2"/>
        </w:numPr>
        <w:spacing w:before="120" w:after="120" w:line="288" w:lineRule="auto"/>
        <w:ind w:left="1134" w:hanging="567"/>
        <w:contextualSpacing w:val="0"/>
        <w:mirrorIndents/>
        <w:rPr>
          <w:rFonts w:ascii="Open Sans" w:hAnsi="Open Sans" w:cs="Open Sans"/>
          <w:sz w:val="22"/>
        </w:rPr>
      </w:pPr>
      <w:r w:rsidRPr="00074F4B">
        <w:rPr>
          <w:rFonts w:ascii="Open Sans" w:hAnsi="Open Sans" w:cs="Open Sans"/>
          <w:sz w:val="22"/>
        </w:rPr>
        <w:t xml:space="preserve">Wyniki analizy </w:t>
      </w:r>
      <w:r w:rsidR="00757BEE" w:rsidRPr="00074F4B">
        <w:rPr>
          <w:rFonts w:ascii="Open Sans" w:hAnsi="Open Sans" w:cs="Open Sans"/>
          <w:sz w:val="22"/>
        </w:rPr>
        <w:t xml:space="preserve">wykonalności, popytu i </w:t>
      </w:r>
      <w:r w:rsidR="00DF7760" w:rsidRPr="00074F4B">
        <w:rPr>
          <w:rFonts w:ascii="Open Sans" w:hAnsi="Open Sans" w:cs="Open Sans"/>
          <w:sz w:val="22"/>
        </w:rPr>
        <w:t>opcji</w:t>
      </w:r>
    </w:p>
    <w:p w14:paraId="4019AA31" w14:textId="0B508FB3" w:rsidR="004170C7" w:rsidRPr="00074F4B" w:rsidRDefault="002B5A4C" w:rsidP="00BC0C9B">
      <w:pPr>
        <w:pStyle w:val="Akapitzlist"/>
        <w:numPr>
          <w:ilvl w:val="2"/>
          <w:numId w:val="2"/>
        </w:numPr>
        <w:spacing w:before="120" w:after="120" w:line="288" w:lineRule="auto"/>
        <w:ind w:left="1134" w:hanging="567"/>
        <w:contextualSpacing w:val="0"/>
        <w:mirrorIndents/>
        <w:rPr>
          <w:rFonts w:ascii="Open Sans" w:hAnsi="Open Sans" w:cs="Open Sans"/>
          <w:sz w:val="22"/>
        </w:rPr>
      </w:pPr>
      <w:r w:rsidRPr="00074F4B">
        <w:rPr>
          <w:rFonts w:ascii="Open Sans" w:hAnsi="Open Sans" w:cs="Open Sans"/>
          <w:sz w:val="22"/>
        </w:rPr>
        <w:t xml:space="preserve">Zgodność przedsięwzięcia z </w:t>
      </w:r>
      <w:r w:rsidR="00C44927" w:rsidRPr="00074F4B">
        <w:rPr>
          <w:rFonts w:ascii="Open Sans" w:hAnsi="Open Sans" w:cs="Open Sans"/>
          <w:sz w:val="22"/>
        </w:rPr>
        <w:t>p</w:t>
      </w:r>
      <w:r w:rsidRPr="00074F4B">
        <w:rPr>
          <w:rFonts w:ascii="Open Sans" w:hAnsi="Open Sans" w:cs="Open Sans"/>
          <w:sz w:val="22"/>
        </w:rPr>
        <w:t xml:space="preserve">rogramem </w:t>
      </w:r>
      <w:proofErr w:type="spellStart"/>
      <w:r w:rsidR="00666B33" w:rsidRPr="00074F4B">
        <w:rPr>
          <w:rFonts w:ascii="Open Sans" w:hAnsi="Open Sans" w:cs="Open Sans"/>
          <w:sz w:val="22"/>
        </w:rPr>
        <w:t>FEnIKS</w:t>
      </w:r>
      <w:proofErr w:type="spellEnd"/>
      <w:r w:rsidR="00C44927" w:rsidRPr="00074F4B">
        <w:rPr>
          <w:rFonts w:ascii="Open Sans" w:hAnsi="Open Sans" w:cs="Open Sans"/>
          <w:sz w:val="22"/>
        </w:rPr>
        <w:t xml:space="preserve"> </w:t>
      </w:r>
      <w:r w:rsidR="005123FB" w:rsidRPr="00074F4B">
        <w:rPr>
          <w:rFonts w:ascii="Open Sans" w:hAnsi="Open Sans" w:cs="Open Sans"/>
          <w:sz w:val="22"/>
        </w:rPr>
        <w:t>oraz polityką Polski i UE w </w:t>
      </w:r>
      <w:r w:rsidR="00DF7760" w:rsidRPr="00074F4B">
        <w:rPr>
          <w:rFonts w:ascii="Open Sans" w:hAnsi="Open Sans" w:cs="Open Sans"/>
          <w:sz w:val="22"/>
        </w:rPr>
        <w:t>zakresie ochrony środowiska</w:t>
      </w:r>
    </w:p>
    <w:p w14:paraId="4019AA32" w14:textId="634C7FC3" w:rsidR="004170C7" w:rsidRPr="00074F4B" w:rsidRDefault="002B5A4C" w:rsidP="00BC0C9B">
      <w:pPr>
        <w:pStyle w:val="Akapitzlist"/>
        <w:numPr>
          <w:ilvl w:val="1"/>
          <w:numId w:val="2"/>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 xml:space="preserve">Analiza </w:t>
      </w:r>
      <w:r w:rsidR="00ED5DAE" w:rsidRPr="00074F4B">
        <w:rPr>
          <w:rFonts w:ascii="Open Sans" w:hAnsi="Open Sans" w:cs="Open Sans"/>
          <w:sz w:val="22"/>
        </w:rPr>
        <w:t xml:space="preserve">oddziaływania przedsięwzięcia </w:t>
      </w:r>
      <w:r w:rsidRPr="00074F4B">
        <w:rPr>
          <w:rFonts w:ascii="Open Sans" w:hAnsi="Open Sans" w:cs="Open Sans"/>
          <w:sz w:val="22"/>
        </w:rPr>
        <w:t>na środowisko</w:t>
      </w:r>
      <w:r w:rsidR="00ED5DAE" w:rsidRPr="00074F4B">
        <w:rPr>
          <w:rFonts w:ascii="Open Sans" w:hAnsi="Open Sans" w:cs="Open Sans"/>
          <w:sz w:val="22"/>
        </w:rPr>
        <w:t xml:space="preserve">, z uwzględnieniem potrzeb dotyczących przystosowania się do zmiany klimatu i łagodzenia zmian klimatu </w:t>
      </w:r>
      <w:r w:rsidR="00A7639C" w:rsidRPr="00074F4B">
        <w:rPr>
          <w:rFonts w:ascii="Open Sans" w:hAnsi="Open Sans" w:cs="Open Sans"/>
          <w:sz w:val="22"/>
        </w:rPr>
        <w:t>oraz zgodności z zapisami Ramowej Dyrektywy Wodnej (jeśli dotyczy)</w:t>
      </w:r>
    </w:p>
    <w:p w14:paraId="4019AA33" w14:textId="1B1F4F7B" w:rsidR="004170C7" w:rsidRPr="00074F4B" w:rsidRDefault="002B5A4C" w:rsidP="00BC0C9B">
      <w:pPr>
        <w:pStyle w:val="Akapitzlist"/>
        <w:numPr>
          <w:ilvl w:val="1"/>
          <w:numId w:val="2"/>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 xml:space="preserve">Plan </w:t>
      </w:r>
      <w:r w:rsidR="00126E67" w:rsidRPr="00074F4B">
        <w:rPr>
          <w:rFonts w:ascii="Open Sans" w:hAnsi="Open Sans" w:cs="Open Sans"/>
          <w:sz w:val="22"/>
        </w:rPr>
        <w:t>wdrożenia</w:t>
      </w:r>
      <w:r w:rsidR="00914187" w:rsidRPr="00074F4B">
        <w:rPr>
          <w:rFonts w:ascii="Open Sans" w:hAnsi="Open Sans" w:cs="Open Sans"/>
          <w:sz w:val="22"/>
        </w:rPr>
        <w:t xml:space="preserve"> przedsięwzięcia</w:t>
      </w:r>
    </w:p>
    <w:p w14:paraId="4019AA34" w14:textId="07405693" w:rsidR="004170C7" w:rsidRPr="00074F4B" w:rsidRDefault="002B5A4C" w:rsidP="00BC0C9B">
      <w:pPr>
        <w:pStyle w:val="Akapitzlist"/>
        <w:numPr>
          <w:ilvl w:val="2"/>
          <w:numId w:val="2"/>
        </w:numPr>
        <w:spacing w:before="120" w:after="120" w:line="288" w:lineRule="auto"/>
        <w:ind w:left="1134" w:hanging="567"/>
        <w:contextualSpacing w:val="0"/>
        <w:mirrorIndents/>
        <w:rPr>
          <w:rFonts w:ascii="Open Sans" w:hAnsi="Open Sans" w:cs="Open Sans"/>
          <w:sz w:val="22"/>
        </w:rPr>
      </w:pPr>
      <w:r w:rsidRPr="00074F4B">
        <w:rPr>
          <w:rFonts w:ascii="Open Sans" w:hAnsi="Open Sans" w:cs="Open Sans"/>
          <w:sz w:val="22"/>
        </w:rPr>
        <w:t xml:space="preserve">Struktura </w:t>
      </w:r>
      <w:r w:rsidR="00757BEE" w:rsidRPr="00074F4B">
        <w:rPr>
          <w:rFonts w:ascii="Open Sans" w:hAnsi="Open Sans" w:cs="Open Sans"/>
          <w:sz w:val="22"/>
        </w:rPr>
        <w:t>instytucjonalna realizacji</w:t>
      </w:r>
      <w:r w:rsidR="00914187" w:rsidRPr="00074F4B">
        <w:rPr>
          <w:rFonts w:ascii="Open Sans" w:hAnsi="Open Sans" w:cs="Open Sans"/>
          <w:sz w:val="22"/>
        </w:rPr>
        <w:t xml:space="preserve"> przedsięwzięcia</w:t>
      </w:r>
    </w:p>
    <w:p w14:paraId="4019AA35" w14:textId="5413CDE6" w:rsidR="004170C7" w:rsidRPr="00074F4B" w:rsidRDefault="002B5A4C" w:rsidP="00BC0C9B">
      <w:pPr>
        <w:pStyle w:val="Akapitzlist"/>
        <w:numPr>
          <w:ilvl w:val="2"/>
          <w:numId w:val="2"/>
        </w:numPr>
        <w:spacing w:before="120" w:after="120" w:line="288" w:lineRule="auto"/>
        <w:ind w:left="1134" w:hanging="567"/>
        <w:contextualSpacing w:val="0"/>
        <w:mirrorIndents/>
        <w:rPr>
          <w:rFonts w:ascii="Open Sans" w:hAnsi="Open Sans" w:cs="Open Sans"/>
          <w:sz w:val="22"/>
        </w:rPr>
      </w:pPr>
      <w:r w:rsidRPr="00074F4B">
        <w:rPr>
          <w:rFonts w:ascii="Open Sans" w:hAnsi="Open Sans" w:cs="Open Sans"/>
          <w:sz w:val="22"/>
        </w:rPr>
        <w:t>Niezbędne działania ins</w:t>
      </w:r>
      <w:r w:rsidR="00914187" w:rsidRPr="00074F4B">
        <w:rPr>
          <w:rFonts w:ascii="Open Sans" w:hAnsi="Open Sans" w:cs="Open Sans"/>
          <w:sz w:val="22"/>
        </w:rPr>
        <w:t>tytucjonalne i administracyjne</w:t>
      </w:r>
    </w:p>
    <w:p w14:paraId="4019AA36" w14:textId="5F23DE30" w:rsidR="004170C7" w:rsidRPr="00074F4B" w:rsidRDefault="002B5A4C" w:rsidP="00BC0C9B">
      <w:pPr>
        <w:pStyle w:val="Akapitzlist"/>
        <w:numPr>
          <w:ilvl w:val="2"/>
          <w:numId w:val="2"/>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lastRenderedPageBreak/>
        <w:t>Harmono</w:t>
      </w:r>
      <w:r w:rsidR="00914187" w:rsidRPr="00074F4B">
        <w:rPr>
          <w:rFonts w:ascii="Open Sans" w:hAnsi="Open Sans" w:cs="Open Sans"/>
          <w:sz w:val="22"/>
        </w:rPr>
        <w:t>gram realizacji przedsięwzięcia</w:t>
      </w:r>
    </w:p>
    <w:p w14:paraId="4019AA37" w14:textId="55EE70C9" w:rsidR="004170C7" w:rsidRPr="00074F4B" w:rsidRDefault="00914187" w:rsidP="00BC0C9B">
      <w:pPr>
        <w:pStyle w:val="Akapitzlist"/>
        <w:numPr>
          <w:ilvl w:val="1"/>
          <w:numId w:val="2"/>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Wyniki analizy finansowej</w:t>
      </w:r>
    </w:p>
    <w:p w14:paraId="4019AA38" w14:textId="09D0CCA0" w:rsidR="00757BEE" w:rsidRPr="00074F4B" w:rsidRDefault="00757BEE" w:rsidP="00BC0C9B">
      <w:pPr>
        <w:pStyle w:val="Akapitzlist"/>
        <w:numPr>
          <w:ilvl w:val="1"/>
          <w:numId w:val="2"/>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Plan finansowania przedsięwzięcia</w:t>
      </w:r>
    </w:p>
    <w:p w14:paraId="4019AA39" w14:textId="17BECB54" w:rsidR="00757BEE" w:rsidRPr="00074F4B" w:rsidRDefault="00757BEE" w:rsidP="00BC0C9B">
      <w:pPr>
        <w:pStyle w:val="Akapitzlist"/>
        <w:numPr>
          <w:ilvl w:val="1"/>
          <w:numId w:val="2"/>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Wyniki analizy trwałości finansowej</w:t>
      </w:r>
    </w:p>
    <w:p w14:paraId="4019AA3A" w14:textId="2A4FFE44" w:rsidR="004170C7" w:rsidRPr="00074F4B" w:rsidRDefault="002B5A4C" w:rsidP="00BC0C9B">
      <w:pPr>
        <w:pStyle w:val="Akapitzlist"/>
        <w:numPr>
          <w:ilvl w:val="1"/>
          <w:numId w:val="2"/>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 xml:space="preserve">Wyniki analizy </w:t>
      </w:r>
      <w:r w:rsidR="00757BEE" w:rsidRPr="00074F4B">
        <w:rPr>
          <w:rFonts w:ascii="Open Sans" w:hAnsi="Open Sans" w:cs="Open Sans"/>
          <w:sz w:val="22"/>
        </w:rPr>
        <w:t>kosztów i korzyści</w:t>
      </w:r>
    </w:p>
    <w:p w14:paraId="4019AA3B" w14:textId="7F8D6B6A" w:rsidR="004170C7" w:rsidRPr="00074F4B" w:rsidRDefault="002B5A4C" w:rsidP="00BC0C9B">
      <w:pPr>
        <w:pStyle w:val="Akapitzlist"/>
        <w:numPr>
          <w:ilvl w:val="1"/>
          <w:numId w:val="2"/>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 xml:space="preserve">Wyniki analizy ryzyka i </w:t>
      </w:r>
      <w:r w:rsidR="00126E67" w:rsidRPr="00074F4B">
        <w:rPr>
          <w:rFonts w:ascii="Open Sans" w:hAnsi="Open Sans" w:cs="Open Sans"/>
          <w:sz w:val="22"/>
        </w:rPr>
        <w:t>wrażliwości</w:t>
      </w:r>
    </w:p>
    <w:p w14:paraId="4019AA3C" w14:textId="4E5C7C92" w:rsidR="00A97DB9" w:rsidRPr="00074F4B" w:rsidRDefault="00A97DB9" w:rsidP="00BC0C9B">
      <w:pPr>
        <w:pStyle w:val="Akapitzlist"/>
        <w:numPr>
          <w:ilvl w:val="1"/>
          <w:numId w:val="2"/>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Komplementarność przedsięwzięcia względem innych projektów</w:t>
      </w:r>
    </w:p>
    <w:p w14:paraId="4019AA3E" w14:textId="6D6CC674" w:rsidR="004170C7" w:rsidRPr="00074F4B" w:rsidRDefault="002B5A4C" w:rsidP="00BC0C9B">
      <w:pPr>
        <w:pStyle w:val="Nagwek1"/>
        <w:numPr>
          <w:ilvl w:val="0"/>
          <w:numId w:val="43"/>
        </w:numPr>
        <w:spacing w:line="288" w:lineRule="auto"/>
        <w:rPr>
          <w:rFonts w:ascii="Open Sans" w:hAnsi="Open Sans" w:cs="Open Sans"/>
          <w:sz w:val="22"/>
          <w:szCs w:val="22"/>
        </w:rPr>
      </w:pPr>
      <w:r w:rsidRPr="00074F4B">
        <w:rPr>
          <w:rFonts w:ascii="Open Sans" w:hAnsi="Open Sans" w:cs="Open Sans"/>
          <w:sz w:val="22"/>
          <w:szCs w:val="22"/>
        </w:rPr>
        <w:t xml:space="preserve">Opis istniejącego systemu </w:t>
      </w:r>
    </w:p>
    <w:p w14:paraId="537732EC" w14:textId="77777777" w:rsidR="002935D5" w:rsidRPr="00074F4B" w:rsidRDefault="002B5A4C" w:rsidP="00BC0C9B">
      <w:pPr>
        <w:pStyle w:val="Akapitzlist"/>
        <w:numPr>
          <w:ilvl w:val="1"/>
          <w:numId w:val="3"/>
        </w:numPr>
        <w:spacing w:before="120" w:after="120" w:line="288" w:lineRule="auto"/>
        <w:ind w:left="567"/>
        <w:contextualSpacing w:val="0"/>
        <w:mirrorIndents/>
        <w:rPr>
          <w:rFonts w:ascii="Open Sans" w:hAnsi="Open Sans" w:cs="Open Sans"/>
          <w:sz w:val="22"/>
        </w:rPr>
      </w:pPr>
      <w:r w:rsidRPr="00074F4B">
        <w:rPr>
          <w:rFonts w:ascii="Open Sans" w:hAnsi="Open Sans" w:cs="Open Sans"/>
          <w:sz w:val="22"/>
        </w:rPr>
        <w:t>Struktura organizacyjna działania systemu</w:t>
      </w:r>
    </w:p>
    <w:p w14:paraId="4019AA40" w14:textId="5E637741" w:rsidR="004170C7" w:rsidRPr="00074F4B" w:rsidRDefault="002B5A4C" w:rsidP="00BC0C9B">
      <w:pPr>
        <w:pStyle w:val="Akapitzlist"/>
        <w:numPr>
          <w:ilvl w:val="2"/>
          <w:numId w:val="6"/>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 xml:space="preserve">Struktura organizacyjna z uwzględnieniem podziału kompetencji, </w:t>
      </w:r>
      <w:r w:rsidR="00126E67" w:rsidRPr="00074F4B">
        <w:rPr>
          <w:rFonts w:ascii="Open Sans" w:hAnsi="Open Sans" w:cs="Open Sans"/>
          <w:sz w:val="22"/>
        </w:rPr>
        <w:t>współzależności</w:t>
      </w:r>
      <w:r w:rsidR="002935D5" w:rsidRPr="00074F4B">
        <w:rPr>
          <w:rFonts w:ascii="Open Sans" w:hAnsi="Open Sans" w:cs="Open Sans"/>
          <w:sz w:val="22"/>
        </w:rPr>
        <w:t xml:space="preserve"> i struktury własności</w:t>
      </w:r>
    </w:p>
    <w:p w14:paraId="289D4F38" w14:textId="77777777" w:rsidR="002935D5" w:rsidRPr="00074F4B" w:rsidRDefault="00A7639C" w:rsidP="00BC0C9B">
      <w:pPr>
        <w:pStyle w:val="Akapitzlist"/>
        <w:numPr>
          <w:ilvl w:val="2"/>
          <w:numId w:val="6"/>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 xml:space="preserve">Informacje na temat podmiotów funkcjonujących </w:t>
      </w:r>
      <w:r w:rsidR="002935D5" w:rsidRPr="00074F4B">
        <w:rPr>
          <w:rFonts w:ascii="Open Sans" w:hAnsi="Open Sans" w:cs="Open Sans"/>
          <w:sz w:val="22"/>
        </w:rPr>
        <w:t>w systemie</w:t>
      </w:r>
    </w:p>
    <w:p w14:paraId="6154E31A" w14:textId="77777777" w:rsidR="002935D5" w:rsidRPr="00074F4B" w:rsidRDefault="00A7639C" w:rsidP="00BC0C9B">
      <w:pPr>
        <w:pStyle w:val="Akapitzlist"/>
        <w:numPr>
          <w:ilvl w:val="3"/>
          <w:numId w:val="3"/>
        </w:numPr>
        <w:spacing w:before="120" w:after="120" w:line="288" w:lineRule="auto"/>
        <w:ind w:left="1701" w:hanging="850"/>
        <w:contextualSpacing w:val="0"/>
        <w:rPr>
          <w:rFonts w:ascii="Open Sans" w:hAnsi="Open Sans" w:cs="Open Sans"/>
          <w:sz w:val="22"/>
        </w:rPr>
      </w:pPr>
      <w:r w:rsidRPr="00074F4B">
        <w:rPr>
          <w:rFonts w:ascii="Open Sans" w:hAnsi="Open Sans" w:cs="Open Sans"/>
          <w:sz w:val="22"/>
        </w:rPr>
        <w:t xml:space="preserve">Krótka historia, forma prawna i struktura własności </w:t>
      </w:r>
    </w:p>
    <w:p w14:paraId="39463171" w14:textId="77777777" w:rsidR="002935D5" w:rsidRPr="00074F4B" w:rsidRDefault="00A7639C" w:rsidP="00BC0C9B">
      <w:pPr>
        <w:pStyle w:val="Akapitzlist"/>
        <w:numPr>
          <w:ilvl w:val="3"/>
          <w:numId w:val="3"/>
        </w:numPr>
        <w:spacing w:before="120" w:after="120" w:line="288" w:lineRule="auto"/>
        <w:ind w:left="1701" w:hanging="850"/>
        <w:contextualSpacing w:val="0"/>
        <w:rPr>
          <w:rFonts w:ascii="Open Sans" w:hAnsi="Open Sans" w:cs="Open Sans"/>
          <w:sz w:val="22"/>
        </w:rPr>
      </w:pPr>
      <w:r w:rsidRPr="00074F4B">
        <w:rPr>
          <w:rFonts w:ascii="Open Sans" w:hAnsi="Open Sans" w:cs="Open Sans"/>
          <w:sz w:val="22"/>
        </w:rPr>
        <w:t>Istniejąca lub potencjalna konkurencja na rynku oferowanych usług, porównanie cen w przekroju regionalnym i krajowym, obecny udział podmiotu w rynku (o ile dotyczy)</w:t>
      </w:r>
    </w:p>
    <w:p w14:paraId="7A4F186A" w14:textId="6DC4CF06" w:rsidR="002935D5" w:rsidRPr="00074F4B" w:rsidRDefault="00A7639C" w:rsidP="00BC0C9B">
      <w:pPr>
        <w:pStyle w:val="Akapitzlist"/>
        <w:numPr>
          <w:ilvl w:val="3"/>
          <w:numId w:val="3"/>
        </w:numPr>
        <w:spacing w:before="120" w:after="120" w:line="288" w:lineRule="auto"/>
        <w:ind w:left="1701" w:hanging="850"/>
        <w:contextualSpacing w:val="0"/>
        <w:rPr>
          <w:rFonts w:ascii="Open Sans" w:hAnsi="Open Sans" w:cs="Open Sans"/>
          <w:sz w:val="22"/>
        </w:rPr>
      </w:pPr>
      <w:r w:rsidRPr="00074F4B">
        <w:rPr>
          <w:rFonts w:ascii="Open Sans" w:hAnsi="Open Sans" w:cs="Open Sans"/>
          <w:sz w:val="22"/>
        </w:rPr>
        <w:t xml:space="preserve">Prezentacja sytuacji finansowej </w:t>
      </w:r>
      <w:r w:rsidRPr="00074F4B">
        <w:rPr>
          <w:rFonts w:ascii="Open Sans" w:hAnsi="Open Sans" w:cs="Open Sans"/>
          <w:sz w:val="22"/>
          <w:lang w:eastAsia="en-US"/>
        </w:rPr>
        <w:t xml:space="preserve">beneficjenta i </w:t>
      </w:r>
      <w:r w:rsidRPr="00074F4B">
        <w:rPr>
          <w:rFonts w:ascii="Open Sans" w:hAnsi="Open Sans" w:cs="Open Sans"/>
          <w:sz w:val="22"/>
        </w:rPr>
        <w:t>podmiotu upoważnionego do ponoszenia wydatków (o ile dotyczy)</w:t>
      </w:r>
    </w:p>
    <w:p w14:paraId="4019AA45" w14:textId="481E2754" w:rsidR="004170C7" w:rsidRPr="00074F4B" w:rsidRDefault="002B5A4C" w:rsidP="00BC0C9B">
      <w:pPr>
        <w:pStyle w:val="Akapitzlist"/>
        <w:numPr>
          <w:ilvl w:val="1"/>
          <w:numId w:val="3"/>
        </w:numPr>
        <w:spacing w:before="120" w:after="120" w:line="288" w:lineRule="auto"/>
        <w:ind w:left="567"/>
        <w:contextualSpacing w:val="0"/>
        <w:mirrorIndents/>
        <w:rPr>
          <w:rFonts w:ascii="Open Sans" w:hAnsi="Open Sans" w:cs="Open Sans"/>
          <w:sz w:val="22"/>
        </w:rPr>
      </w:pPr>
      <w:r w:rsidRPr="00074F4B">
        <w:rPr>
          <w:rFonts w:ascii="Open Sans" w:hAnsi="Open Sans" w:cs="Open Sans"/>
          <w:sz w:val="22"/>
        </w:rPr>
        <w:t>Parametry ilościowe i ja</w:t>
      </w:r>
      <w:r w:rsidR="002935D5" w:rsidRPr="00074F4B">
        <w:rPr>
          <w:rFonts w:ascii="Open Sans" w:hAnsi="Open Sans" w:cs="Open Sans"/>
          <w:sz w:val="22"/>
        </w:rPr>
        <w:t>kościowe w istniejącym systemie</w:t>
      </w:r>
    </w:p>
    <w:p w14:paraId="45D1ED7B" w14:textId="77791B35" w:rsidR="009D2407" w:rsidRPr="00074F4B" w:rsidRDefault="002B5A4C" w:rsidP="00BC0C9B">
      <w:pPr>
        <w:pStyle w:val="Akapitzlist"/>
        <w:numPr>
          <w:ilvl w:val="1"/>
          <w:numId w:val="3"/>
        </w:numPr>
        <w:spacing w:before="120" w:after="120" w:line="288" w:lineRule="auto"/>
        <w:ind w:left="567"/>
        <w:contextualSpacing w:val="0"/>
        <w:mirrorIndents/>
        <w:rPr>
          <w:rFonts w:ascii="Open Sans" w:hAnsi="Open Sans" w:cs="Open Sans"/>
          <w:color w:val="auto"/>
          <w:sz w:val="22"/>
        </w:rPr>
      </w:pPr>
      <w:r w:rsidRPr="00074F4B">
        <w:rPr>
          <w:rFonts w:ascii="Open Sans" w:hAnsi="Open Sans" w:cs="Open Sans"/>
          <w:sz w:val="22"/>
        </w:rPr>
        <w:t xml:space="preserve">Charakterystyka techniczna istniejącego </w:t>
      </w:r>
      <w:r w:rsidRPr="00074F4B">
        <w:rPr>
          <w:rFonts w:ascii="Open Sans" w:hAnsi="Open Sans" w:cs="Open Sans"/>
          <w:color w:val="auto"/>
          <w:sz w:val="22"/>
        </w:rPr>
        <w:t>systemu</w:t>
      </w:r>
      <w:r w:rsidR="00914187" w:rsidRPr="00074F4B">
        <w:rPr>
          <w:rFonts w:ascii="Open Sans" w:hAnsi="Open Sans" w:cs="Open Sans"/>
          <w:color w:val="auto"/>
          <w:sz w:val="22"/>
        </w:rPr>
        <w:t xml:space="preserve"> zaopatrzenia w wodę do spożycia</w:t>
      </w:r>
      <w:r w:rsidR="00BB7841" w:rsidRPr="00074F4B">
        <w:rPr>
          <w:rFonts w:ascii="Open Sans" w:hAnsi="Open Sans" w:cs="Open Sans"/>
          <w:color w:val="auto"/>
          <w:sz w:val="22"/>
        </w:rPr>
        <w:t xml:space="preserve"> (dla rozbudowy infrastruktury należy wskazać obszar a</w:t>
      </w:r>
      <w:r w:rsidR="00C2644B" w:rsidRPr="00074F4B">
        <w:rPr>
          <w:rFonts w:ascii="Open Sans" w:hAnsi="Open Sans" w:cs="Open Sans"/>
          <w:color w:val="auto"/>
          <w:sz w:val="22"/>
        </w:rPr>
        <w:t>glomeracji i</w:t>
      </w:r>
      <w:r w:rsidR="00E6344C">
        <w:rPr>
          <w:rFonts w:ascii="Open Sans" w:hAnsi="Open Sans" w:cs="Open Sans"/>
          <w:color w:val="auto"/>
          <w:sz w:val="22"/>
        </w:rPr>
        <w:t> </w:t>
      </w:r>
      <w:r w:rsidR="00C2644B" w:rsidRPr="00074F4B">
        <w:rPr>
          <w:rFonts w:ascii="Open Sans" w:hAnsi="Open Sans" w:cs="Open Sans"/>
          <w:color w:val="auto"/>
          <w:sz w:val="22"/>
        </w:rPr>
        <w:t>wykazać zgodność z</w:t>
      </w:r>
      <w:r w:rsidR="00074F4B" w:rsidRPr="00074F4B">
        <w:rPr>
          <w:rFonts w:ascii="Open Sans" w:hAnsi="Open Sans" w:cs="Open Sans"/>
          <w:color w:val="auto"/>
          <w:sz w:val="22"/>
        </w:rPr>
        <w:t> </w:t>
      </w:r>
      <w:r w:rsidR="00BB7841" w:rsidRPr="00074F4B">
        <w:rPr>
          <w:rFonts w:ascii="Open Sans" w:hAnsi="Open Sans" w:cs="Open Sans"/>
          <w:color w:val="auto"/>
          <w:sz w:val="22"/>
        </w:rPr>
        <w:t>dyrektywą 91/271/</w:t>
      </w:r>
      <w:proofErr w:type="gramStart"/>
      <w:r w:rsidR="00BB7841" w:rsidRPr="00074F4B">
        <w:rPr>
          <w:rFonts w:ascii="Open Sans" w:hAnsi="Open Sans" w:cs="Open Sans"/>
          <w:color w:val="auto"/>
          <w:sz w:val="22"/>
        </w:rPr>
        <w:t xml:space="preserve">EWG </w:t>
      </w:r>
      <w:r w:rsidR="00914187" w:rsidRPr="00074F4B">
        <w:rPr>
          <w:rFonts w:ascii="Open Sans" w:hAnsi="Open Sans" w:cs="Open Sans"/>
          <w:color w:val="auto"/>
          <w:sz w:val="22"/>
        </w:rPr>
        <w:t>)</w:t>
      </w:r>
      <w:proofErr w:type="gramEnd"/>
    </w:p>
    <w:p w14:paraId="4019AA4A" w14:textId="6430FDDF" w:rsidR="004170C7" w:rsidRPr="00074F4B" w:rsidRDefault="002B5A4C" w:rsidP="00BC0C9B">
      <w:pPr>
        <w:pStyle w:val="Akapitzlist"/>
        <w:numPr>
          <w:ilvl w:val="1"/>
          <w:numId w:val="3"/>
        </w:numPr>
        <w:spacing w:before="120" w:after="120" w:line="288" w:lineRule="auto"/>
        <w:ind w:left="567"/>
        <w:contextualSpacing w:val="0"/>
        <w:mirrorIndents/>
        <w:rPr>
          <w:rFonts w:ascii="Open Sans" w:hAnsi="Open Sans" w:cs="Open Sans"/>
          <w:sz w:val="22"/>
        </w:rPr>
      </w:pPr>
      <w:r w:rsidRPr="00074F4B">
        <w:rPr>
          <w:rFonts w:ascii="Open Sans" w:hAnsi="Open Sans" w:cs="Open Sans"/>
          <w:sz w:val="22"/>
        </w:rPr>
        <w:t>Zgodność działania syste</w:t>
      </w:r>
      <w:r w:rsidR="00E4632E" w:rsidRPr="00074F4B">
        <w:rPr>
          <w:rFonts w:ascii="Open Sans" w:hAnsi="Open Sans" w:cs="Open Sans"/>
          <w:sz w:val="22"/>
        </w:rPr>
        <w:t>mu z wymaganiami polskimi i UE</w:t>
      </w:r>
    </w:p>
    <w:p w14:paraId="117DC640" w14:textId="3A05DA56" w:rsidR="007D3643" w:rsidRPr="00074F4B" w:rsidRDefault="009D2407" w:rsidP="00BC0C9B">
      <w:pPr>
        <w:pStyle w:val="Akapitzlist"/>
        <w:numPr>
          <w:ilvl w:val="1"/>
          <w:numId w:val="3"/>
        </w:numPr>
        <w:spacing w:before="120" w:after="120" w:line="288" w:lineRule="auto"/>
        <w:ind w:left="567"/>
        <w:contextualSpacing w:val="0"/>
        <w:mirrorIndents/>
        <w:rPr>
          <w:rFonts w:ascii="Open Sans" w:hAnsi="Open Sans" w:cs="Open Sans"/>
          <w:sz w:val="22"/>
        </w:rPr>
      </w:pPr>
      <w:r w:rsidRPr="00074F4B">
        <w:rPr>
          <w:rFonts w:ascii="Open Sans" w:hAnsi="Open Sans" w:cs="Open Sans"/>
          <w:sz w:val="22"/>
        </w:rPr>
        <w:t>Opis niedoborów jakościowych i ilościowych w stosunku do stanu pożądanego</w:t>
      </w:r>
    </w:p>
    <w:p w14:paraId="4019AA4C" w14:textId="1F732CC4" w:rsidR="004170C7" w:rsidRPr="00074F4B" w:rsidRDefault="00084A5C" w:rsidP="00BC0C9B">
      <w:pPr>
        <w:pStyle w:val="Akapitzlist"/>
        <w:numPr>
          <w:ilvl w:val="1"/>
          <w:numId w:val="3"/>
        </w:numPr>
        <w:spacing w:before="120" w:after="120" w:line="288" w:lineRule="auto"/>
        <w:ind w:left="567"/>
        <w:contextualSpacing w:val="0"/>
        <w:mirrorIndents/>
        <w:rPr>
          <w:rFonts w:ascii="Open Sans" w:hAnsi="Open Sans" w:cs="Open Sans"/>
          <w:sz w:val="22"/>
        </w:rPr>
      </w:pPr>
      <w:r w:rsidRPr="00074F4B">
        <w:rPr>
          <w:rFonts w:ascii="Open Sans" w:hAnsi="Open Sans" w:cs="Open Sans"/>
          <w:sz w:val="22"/>
        </w:rPr>
        <w:t>Z</w:t>
      </w:r>
      <w:r w:rsidR="002B5A4C" w:rsidRPr="00074F4B">
        <w:rPr>
          <w:rFonts w:ascii="Open Sans" w:hAnsi="Open Sans" w:cs="Open Sans"/>
          <w:sz w:val="22"/>
        </w:rPr>
        <w:t>akres inwestycji niezbędnych do zniwelo</w:t>
      </w:r>
      <w:r w:rsidR="00E4632E" w:rsidRPr="00074F4B">
        <w:rPr>
          <w:rFonts w:ascii="Open Sans" w:hAnsi="Open Sans" w:cs="Open Sans"/>
          <w:sz w:val="22"/>
        </w:rPr>
        <w:t>wania niedoborów jakościowych i </w:t>
      </w:r>
      <w:r w:rsidR="002B5A4C" w:rsidRPr="00074F4B">
        <w:rPr>
          <w:rFonts w:ascii="Open Sans" w:hAnsi="Open Sans" w:cs="Open Sans"/>
          <w:sz w:val="22"/>
        </w:rPr>
        <w:t>ilościowych systemu, w tym inwestycji odtworzeniowych</w:t>
      </w:r>
    </w:p>
    <w:p w14:paraId="4019AA4E" w14:textId="2F46ED97" w:rsidR="004170C7" w:rsidRPr="00074F4B" w:rsidRDefault="002B5A4C" w:rsidP="00BC0C9B">
      <w:pPr>
        <w:pStyle w:val="Nagwek1"/>
        <w:numPr>
          <w:ilvl w:val="0"/>
          <w:numId w:val="43"/>
        </w:numPr>
        <w:spacing w:line="288" w:lineRule="auto"/>
        <w:rPr>
          <w:rFonts w:ascii="Open Sans" w:hAnsi="Open Sans" w:cs="Open Sans"/>
          <w:sz w:val="22"/>
          <w:szCs w:val="22"/>
        </w:rPr>
      </w:pPr>
      <w:proofErr w:type="gramStart"/>
      <w:r w:rsidRPr="00074F4B">
        <w:rPr>
          <w:rFonts w:ascii="Open Sans" w:hAnsi="Open Sans" w:cs="Open Sans"/>
          <w:sz w:val="22"/>
          <w:szCs w:val="22"/>
        </w:rPr>
        <w:t>Analiza  popytu</w:t>
      </w:r>
      <w:proofErr w:type="gramEnd"/>
      <w:r w:rsidRPr="00074F4B">
        <w:rPr>
          <w:rFonts w:ascii="Open Sans" w:hAnsi="Open Sans" w:cs="Open Sans"/>
          <w:sz w:val="22"/>
          <w:szCs w:val="22"/>
        </w:rPr>
        <w:t xml:space="preserve"> </w:t>
      </w:r>
      <w:r w:rsidR="009D2407" w:rsidRPr="00074F4B">
        <w:rPr>
          <w:rFonts w:ascii="Open Sans" w:hAnsi="Open Sans" w:cs="Open Sans"/>
          <w:sz w:val="22"/>
          <w:szCs w:val="22"/>
        </w:rPr>
        <w:t>(</w:t>
      </w:r>
      <w:r w:rsidR="0074753B" w:rsidRPr="00074F4B">
        <w:rPr>
          <w:rFonts w:ascii="Open Sans" w:hAnsi="Open Sans" w:cs="Open Sans"/>
          <w:sz w:val="22"/>
          <w:szCs w:val="22"/>
        </w:rPr>
        <w:t>w</w:t>
      </w:r>
      <w:r w:rsidR="009D2407" w:rsidRPr="00074F4B">
        <w:rPr>
          <w:rFonts w:ascii="Open Sans" w:hAnsi="Open Sans" w:cs="Open Sans"/>
          <w:sz w:val="22"/>
          <w:szCs w:val="22"/>
        </w:rPr>
        <w:t>ypełnić stosownie do charakteru przedsięwzięcia)</w:t>
      </w:r>
    </w:p>
    <w:p w14:paraId="0DFC0F36" w14:textId="77777777" w:rsidR="00986522" w:rsidRPr="00074F4B" w:rsidRDefault="002935D5" w:rsidP="00BC0C9B">
      <w:pPr>
        <w:pStyle w:val="Akapitzlist"/>
        <w:numPr>
          <w:ilvl w:val="1"/>
          <w:numId w:val="4"/>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Uwarunkowania społeczno-gospoda</w:t>
      </w:r>
      <w:r w:rsidR="00E4632E" w:rsidRPr="00074F4B">
        <w:rPr>
          <w:rFonts w:ascii="Open Sans" w:hAnsi="Open Sans" w:cs="Open Sans"/>
          <w:sz w:val="22"/>
        </w:rPr>
        <w:t>rcze realizacji przedsięwzięcia</w:t>
      </w:r>
    </w:p>
    <w:p w14:paraId="33A8F89B" w14:textId="2EFF2A07" w:rsidR="002935D5" w:rsidRPr="00074F4B" w:rsidRDefault="00986522" w:rsidP="00BC0C9B">
      <w:pPr>
        <w:pStyle w:val="Akapitzlist"/>
        <w:numPr>
          <w:ilvl w:val="2"/>
          <w:numId w:val="4"/>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S</w:t>
      </w:r>
      <w:r w:rsidR="002935D5" w:rsidRPr="00074F4B">
        <w:rPr>
          <w:rFonts w:ascii="Open Sans" w:hAnsi="Open Sans" w:cs="Open Sans"/>
          <w:sz w:val="22"/>
        </w:rPr>
        <w:t>truktura i skala dział</w:t>
      </w:r>
      <w:r w:rsidR="00E4632E" w:rsidRPr="00074F4B">
        <w:rPr>
          <w:rFonts w:ascii="Open Sans" w:hAnsi="Open Sans" w:cs="Open Sans"/>
          <w:sz w:val="22"/>
        </w:rPr>
        <w:t>alności gospodarczej w regionie</w:t>
      </w:r>
    </w:p>
    <w:p w14:paraId="74562ECE" w14:textId="50107C49" w:rsidR="002935D5" w:rsidRPr="00074F4B" w:rsidRDefault="002935D5" w:rsidP="00BC0C9B">
      <w:pPr>
        <w:pStyle w:val="Akapitzlist"/>
        <w:numPr>
          <w:ilvl w:val="2"/>
          <w:numId w:val="4"/>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 xml:space="preserve">Prognozy i </w:t>
      </w:r>
      <w:r w:rsidR="00E4632E" w:rsidRPr="00074F4B">
        <w:rPr>
          <w:rFonts w:ascii="Open Sans" w:hAnsi="Open Sans" w:cs="Open Sans"/>
          <w:sz w:val="22"/>
        </w:rPr>
        <w:t>strategie rozwojowe dla regionu</w:t>
      </w:r>
    </w:p>
    <w:p w14:paraId="294E8AE3" w14:textId="1255C7E8" w:rsidR="002935D5" w:rsidRPr="00074F4B" w:rsidRDefault="002935D5" w:rsidP="00BC0C9B">
      <w:pPr>
        <w:pStyle w:val="Akapitzlist"/>
        <w:numPr>
          <w:ilvl w:val="2"/>
          <w:numId w:val="4"/>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Plan inwestycji gminnych</w:t>
      </w:r>
    </w:p>
    <w:p w14:paraId="4019AA53" w14:textId="66A3AC19" w:rsidR="004170C7" w:rsidRPr="00074F4B" w:rsidRDefault="00126E67" w:rsidP="00BC0C9B">
      <w:pPr>
        <w:pStyle w:val="Akapitzlist"/>
        <w:numPr>
          <w:ilvl w:val="1"/>
          <w:numId w:val="4"/>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Bieżący</w:t>
      </w:r>
      <w:r w:rsidR="002B5A4C" w:rsidRPr="00074F4B">
        <w:rPr>
          <w:rFonts w:ascii="Open Sans" w:hAnsi="Open Sans" w:cs="Open Sans"/>
          <w:sz w:val="22"/>
        </w:rPr>
        <w:t xml:space="preserve"> i przyszły popyt zgłaszany przez</w:t>
      </w:r>
      <w:r w:rsidR="00215441" w:rsidRPr="00074F4B">
        <w:rPr>
          <w:rFonts w:ascii="Open Sans" w:hAnsi="Open Sans" w:cs="Open Sans"/>
          <w:sz w:val="22"/>
        </w:rPr>
        <w:t>: gospodarstwa domowe, przemysł oraz podmioty użyteczności publicznej i sektor usługowy</w:t>
      </w:r>
    </w:p>
    <w:p w14:paraId="4019AA54" w14:textId="24C399DC" w:rsidR="004170C7" w:rsidRPr="00074F4B" w:rsidRDefault="00126E67" w:rsidP="00BC0C9B">
      <w:pPr>
        <w:pStyle w:val="Akapitzlist"/>
        <w:numPr>
          <w:ilvl w:val="2"/>
          <w:numId w:val="4"/>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Bieżący</w:t>
      </w:r>
      <w:r w:rsidR="00E4632E" w:rsidRPr="00074F4B">
        <w:rPr>
          <w:rFonts w:ascii="Open Sans" w:hAnsi="Open Sans" w:cs="Open Sans"/>
          <w:sz w:val="22"/>
        </w:rPr>
        <w:t xml:space="preserve"> popyt </w:t>
      </w:r>
    </w:p>
    <w:p w14:paraId="4019AA55" w14:textId="0C08D561" w:rsidR="004170C7" w:rsidRPr="00074F4B" w:rsidRDefault="00522AD9" w:rsidP="00BC0C9B">
      <w:pPr>
        <w:pStyle w:val="Akapitzlist"/>
        <w:numPr>
          <w:ilvl w:val="2"/>
          <w:numId w:val="4"/>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Przyszły popyt</w:t>
      </w:r>
      <w:r w:rsidR="00E4632E" w:rsidRPr="00074F4B">
        <w:rPr>
          <w:rFonts w:ascii="Open Sans" w:hAnsi="Open Sans" w:cs="Open Sans"/>
          <w:sz w:val="22"/>
        </w:rPr>
        <w:t xml:space="preserve"> </w:t>
      </w:r>
    </w:p>
    <w:p w14:paraId="46212F72" w14:textId="77777777" w:rsidR="00513A45" w:rsidRPr="00074F4B" w:rsidRDefault="002B5A4C" w:rsidP="00BC0C9B">
      <w:pPr>
        <w:pStyle w:val="Nagwek1"/>
        <w:numPr>
          <w:ilvl w:val="0"/>
          <w:numId w:val="43"/>
        </w:numPr>
        <w:spacing w:line="288" w:lineRule="auto"/>
        <w:rPr>
          <w:rFonts w:ascii="Open Sans" w:hAnsi="Open Sans" w:cs="Open Sans"/>
          <w:sz w:val="22"/>
          <w:szCs w:val="22"/>
        </w:rPr>
      </w:pPr>
      <w:r w:rsidRPr="00074F4B">
        <w:rPr>
          <w:rFonts w:ascii="Open Sans" w:hAnsi="Open Sans" w:cs="Open Sans"/>
          <w:sz w:val="22"/>
          <w:szCs w:val="22"/>
        </w:rPr>
        <w:t xml:space="preserve">Analiza </w:t>
      </w:r>
      <w:r w:rsidR="00692E76" w:rsidRPr="00074F4B">
        <w:rPr>
          <w:rFonts w:ascii="Open Sans" w:hAnsi="Open Sans" w:cs="Open Sans"/>
          <w:sz w:val="22"/>
          <w:szCs w:val="22"/>
        </w:rPr>
        <w:t xml:space="preserve">wykonalności przedsięwzięcia wraz z analizą </w:t>
      </w:r>
      <w:r w:rsidRPr="00074F4B">
        <w:rPr>
          <w:rFonts w:ascii="Open Sans" w:hAnsi="Open Sans" w:cs="Open Sans"/>
          <w:sz w:val="22"/>
          <w:szCs w:val="22"/>
        </w:rPr>
        <w:t>opcji</w:t>
      </w:r>
    </w:p>
    <w:p w14:paraId="0A87FC30" w14:textId="600D14B8" w:rsidR="00513A45" w:rsidRPr="00074F4B" w:rsidRDefault="00E4632E" w:rsidP="00BC0C9B">
      <w:pPr>
        <w:pStyle w:val="Akapitzlist"/>
        <w:numPr>
          <w:ilvl w:val="1"/>
          <w:numId w:val="5"/>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Zakres i metodyk analizy</w:t>
      </w:r>
    </w:p>
    <w:p w14:paraId="4019AA64" w14:textId="3CF57502" w:rsidR="00692E76" w:rsidRPr="00074F4B" w:rsidRDefault="00692E76" w:rsidP="00BC0C9B">
      <w:pPr>
        <w:pStyle w:val="Akapitzlist"/>
        <w:numPr>
          <w:ilvl w:val="1"/>
          <w:numId w:val="5"/>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 xml:space="preserve">Analiza wykonalności (identyfikacja możliwych rozwiązań </w:t>
      </w:r>
      <w:r w:rsidR="00685FF3" w:rsidRPr="00074F4B">
        <w:rPr>
          <w:rFonts w:ascii="Open Sans" w:hAnsi="Open Sans" w:cs="Open Sans"/>
          <w:sz w:val="22"/>
        </w:rPr>
        <w:t>inwestycyjnych</w:t>
      </w:r>
      <w:r w:rsidR="008B3C82" w:rsidRPr="00074F4B">
        <w:rPr>
          <w:rFonts w:ascii="Open Sans" w:hAnsi="Open Sans" w:cs="Open Sans"/>
          <w:sz w:val="22"/>
        </w:rPr>
        <w:t>/lokalizacyjnych</w:t>
      </w:r>
      <w:r w:rsidR="00685FF3" w:rsidRPr="00074F4B">
        <w:rPr>
          <w:rFonts w:ascii="Open Sans" w:hAnsi="Open Sans" w:cs="Open Sans"/>
          <w:sz w:val="22"/>
        </w:rPr>
        <w:t>, które są wykonalne pod względem technicznym, ekonomicznym, środowiskowym i instytucjonalnym</w:t>
      </w:r>
      <w:r w:rsidRPr="00074F4B">
        <w:rPr>
          <w:rFonts w:ascii="Open Sans" w:hAnsi="Open Sans" w:cs="Open Sans"/>
          <w:sz w:val="22"/>
        </w:rPr>
        <w:t>)</w:t>
      </w:r>
      <w:r w:rsidR="00ED5ABC" w:rsidRPr="00074F4B">
        <w:rPr>
          <w:rFonts w:ascii="Open Sans" w:hAnsi="Open Sans" w:cs="Open Sans"/>
          <w:sz w:val="22"/>
        </w:rPr>
        <w:t xml:space="preserve"> </w:t>
      </w:r>
    </w:p>
    <w:p w14:paraId="1D4DBB07" w14:textId="77777777" w:rsidR="005B76F8" w:rsidRPr="00074F4B" w:rsidRDefault="00692E76" w:rsidP="00BC0C9B">
      <w:pPr>
        <w:pStyle w:val="Akapitzlist"/>
        <w:numPr>
          <w:ilvl w:val="1"/>
          <w:numId w:val="5"/>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Analiza opcji</w:t>
      </w:r>
    </w:p>
    <w:p w14:paraId="4019AA66" w14:textId="1AD5F611" w:rsidR="00692E76" w:rsidRPr="00074F4B" w:rsidRDefault="00692E76" w:rsidP="00BC0C9B">
      <w:pPr>
        <w:pStyle w:val="Akapitzlist"/>
        <w:numPr>
          <w:ilvl w:val="2"/>
          <w:numId w:val="5"/>
        </w:numPr>
        <w:spacing w:before="120" w:after="120" w:line="288" w:lineRule="auto"/>
        <w:ind w:left="1134" w:hanging="567"/>
        <w:contextualSpacing w:val="0"/>
        <w:rPr>
          <w:rFonts w:ascii="Open Sans" w:hAnsi="Open Sans" w:cs="Open Sans"/>
          <w:sz w:val="22"/>
        </w:rPr>
      </w:pPr>
      <w:r w:rsidRPr="00074F4B">
        <w:rPr>
          <w:rFonts w:ascii="Open Sans" w:eastAsia="Arial" w:hAnsi="Open Sans" w:cs="Open Sans"/>
          <w:sz w:val="22"/>
        </w:rPr>
        <w:t xml:space="preserve">Analiza strategiczna – zidentyfikowanie najbardziej korzystnych </w:t>
      </w:r>
      <w:r w:rsidR="002B5A4C" w:rsidRPr="00074F4B">
        <w:rPr>
          <w:rFonts w:ascii="Open Sans" w:hAnsi="Open Sans" w:cs="Open Sans"/>
          <w:sz w:val="22"/>
        </w:rPr>
        <w:t>rozwiązań</w:t>
      </w:r>
      <w:r w:rsidRPr="00074F4B">
        <w:rPr>
          <w:rFonts w:ascii="Open Sans" w:hAnsi="Open Sans" w:cs="Open Sans"/>
          <w:sz w:val="22"/>
        </w:rPr>
        <w:t xml:space="preserve"> (analiza jakościowa)</w:t>
      </w:r>
    </w:p>
    <w:p w14:paraId="1C17401B" w14:textId="77777777" w:rsidR="005B76F8" w:rsidRPr="00074F4B" w:rsidRDefault="00692E76" w:rsidP="00BC0C9B">
      <w:pPr>
        <w:pStyle w:val="Akapitzlist"/>
        <w:numPr>
          <w:ilvl w:val="2"/>
          <w:numId w:val="5"/>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Analiza rozwiązań technologicznych (analiza opcji ilościowa)</w:t>
      </w:r>
    </w:p>
    <w:p w14:paraId="4019AA68" w14:textId="3EB0B4DC" w:rsidR="004170C7" w:rsidRPr="00074F4B" w:rsidRDefault="00176EBB" w:rsidP="00BC0C9B">
      <w:pPr>
        <w:pStyle w:val="Akapitzlist"/>
        <w:numPr>
          <w:ilvl w:val="3"/>
          <w:numId w:val="5"/>
        </w:numPr>
        <w:spacing w:before="120" w:after="120" w:line="288" w:lineRule="auto"/>
        <w:ind w:left="1701" w:hanging="850"/>
        <w:contextualSpacing w:val="0"/>
        <w:rPr>
          <w:rFonts w:ascii="Open Sans" w:hAnsi="Open Sans" w:cs="Open Sans"/>
          <w:sz w:val="22"/>
        </w:rPr>
      </w:pPr>
      <w:r w:rsidRPr="00074F4B">
        <w:rPr>
          <w:rFonts w:ascii="Open Sans" w:eastAsia="Arial" w:hAnsi="Open Sans" w:cs="Open Sans"/>
          <w:sz w:val="22"/>
        </w:rPr>
        <w:t>O</w:t>
      </w:r>
      <w:r w:rsidR="00692E76" w:rsidRPr="00074F4B">
        <w:rPr>
          <w:rFonts w:ascii="Open Sans" w:eastAsia="Arial" w:hAnsi="Open Sans" w:cs="Open Sans"/>
          <w:sz w:val="22"/>
        </w:rPr>
        <w:t>szacowanie</w:t>
      </w:r>
      <w:r w:rsidR="002B5A4C" w:rsidRPr="00074F4B">
        <w:rPr>
          <w:rFonts w:ascii="Open Sans" w:hAnsi="Open Sans" w:cs="Open Sans"/>
          <w:sz w:val="22"/>
        </w:rPr>
        <w:t xml:space="preserve"> kosztów dla </w:t>
      </w:r>
      <w:r w:rsidR="00692E76" w:rsidRPr="00074F4B">
        <w:rPr>
          <w:rFonts w:ascii="Open Sans" w:hAnsi="Open Sans" w:cs="Open Sans"/>
          <w:sz w:val="22"/>
        </w:rPr>
        <w:t xml:space="preserve">wybranych rozwiązań </w:t>
      </w:r>
    </w:p>
    <w:p w14:paraId="4019AA69" w14:textId="46D6F3F9" w:rsidR="004170C7" w:rsidRPr="00074F4B" w:rsidRDefault="002B5A4C" w:rsidP="00BC0C9B">
      <w:pPr>
        <w:pStyle w:val="Akapitzlist"/>
        <w:numPr>
          <w:ilvl w:val="3"/>
          <w:numId w:val="5"/>
        </w:numPr>
        <w:spacing w:before="120" w:after="120" w:line="288" w:lineRule="auto"/>
        <w:ind w:left="1701" w:hanging="850"/>
        <w:contextualSpacing w:val="0"/>
        <w:rPr>
          <w:rFonts w:ascii="Open Sans" w:hAnsi="Open Sans" w:cs="Open Sans"/>
          <w:sz w:val="22"/>
        </w:rPr>
      </w:pPr>
      <w:r w:rsidRPr="00074F4B">
        <w:rPr>
          <w:rFonts w:ascii="Open Sans" w:hAnsi="Open Sans" w:cs="Open Sans"/>
          <w:sz w:val="22"/>
        </w:rPr>
        <w:t xml:space="preserve">Finansowe i ekonomiczne porównanie </w:t>
      </w:r>
      <w:r w:rsidR="00126E67" w:rsidRPr="00074F4B">
        <w:rPr>
          <w:rFonts w:ascii="Open Sans" w:hAnsi="Open Sans" w:cs="Open Sans"/>
          <w:sz w:val="22"/>
        </w:rPr>
        <w:t>rozważanych</w:t>
      </w:r>
      <w:r w:rsidRPr="00074F4B">
        <w:rPr>
          <w:rFonts w:ascii="Open Sans" w:hAnsi="Open Sans" w:cs="Open Sans"/>
          <w:sz w:val="22"/>
        </w:rPr>
        <w:t xml:space="preserve"> opcji </w:t>
      </w:r>
    </w:p>
    <w:p w14:paraId="4019AA6A" w14:textId="5B3CB80A" w:rsidR="00680F73" w:rsidRPr="00074F4B" w:rsidRDefault="00680F73" w:rsidP="00BC0C9B">
      <w:pPr>
        <w:pStyle w:val="Akapitzlist"/>
        <w:numPr>
          <w:ilvl w:val="3"/>
          <w:numId w:val="5"/>
        </w:numPr>
        <w:spacing w:before="120" w:after="120" w:line="288" w:lineRule="auto"/>
        <w:ind w:left="1701" w:hanging="850"/>
        <w:contextualSpacing w:val="0"/>
        <w:rPr>
          <w:rFonts w:ascii="Open Sans" w:hAnsi="Open Sans" w:cs="Open Sans"/>
          <w:sz w:val="22"/>
        </w:rPr>
      </w:pPr>
      <w:r w:rsidRPr="00074F4B">
        <w:rPr>
          <w:rFonts w:ascii="Open Sans" w:hAnsi="Open Sans" w:cs="Open Sans"/>
          <w:sz w:val="22"/>
        </w:rPr>
        <w:t xml:space="preserve">Porównanie rozważanych opcji pod względem środowiskowym (uwzględniając wpływ oraz odporność na zmianę klimatu i zagrożenia związane z klęskami żywiołowymi </w:t>
      </w:r>
      <w:r w:rsidR="009D2407" w:rsidRPr="00074F4B">
        <w:rPr>
          <w:rFonts w:ascii="Open Sans" w:hAnsi="Open Sans" w:cs="Open Sans"/>
          <w:sz w:val="22"/>
        </w:rPr>
        <w:t>oraz zgodność z celami Ramowej Dyrektywy Wodnej</w:t>
      </w:r>
      <w:r w:rsidR="00355207" w:rsidRPr="00074F4B">
        <w:rPr>
          <w:rFonts w:ascii="Open Sans" w:hAnsi="Open Sans" w:cs="Open Sans"/>
          <w:sz w:val="22"/>
        </w:rPr>
        <w:t>)</w:t>
      </w:r>
    </w:p>
    <w:p w14:paraId="4019AA6B" w14:textId="7C15A94D" w:rsidR="00A161F0" w:rsidRPr="00074F4B" w:rsidRDefault="00176EBB" w:rsidP="00BC0C9B">
      <w:pPr>
        <w:pStyle w:val="Akapitzlist"/>
        <w:numPr>
          <w:ilvl w:val="1"/>
          <w:numId w:val="5"/>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 xml:space="preserve">Wybór najlepszego rozwiązania spośród rozważanych opcji </w:t>
      </w:r>
      <w:r w:rsidR="00BF1B62" w:rsidRPr="00074F4B">
        <w:rPr>
          <w:rFonts w:ascii="Open Sans" w:hAnsi="Open Sans" w:cs="Open Sans"/>
          <w:sz w:val="22"/>
        </w:rPr>
        <w:t xml:space="preserve">wraz </w:t>
      </w:r>
      <w:r w:rsidRPr="00074F4B">
        <w:rPr>
          <w:rFonts w:ascii="Open Sans" w:hAnsi="Open Sans" w:cs="Open Sans"/>
          <w:sz w:val="22"/>
        </w:rPr>
        <w:t>z</w:t>
      </w:r>
      <w:r w:rsidR="00E6344C">
        <w:rPr>
          <w:rFonts w:ascii="Open Sans" w:hAnsi="Open Sans" w:cs="Open Sans"/>
          <w:sz w:val="22"/>
        </w:rPr>
        <w:t> </w:t>
      </w:r>
      <w:r w:rsidR="005B76F8" w:rsidRPr="00074F4B">
        <w:rPr>
          <w:rFonts w:ascii="Open Sans" w:hAnsi="Open Sans" w:cs="Open Sans"/>
          <w:sz w:val="22"/>
        </w:rPr>
        <w:t>uzasadnieniem dokonanego wyboru</w:t>
      </w:r>
    </w:p>
    <w:p w14:paraId="78F6222F" w14:textId="5B283481" w:rsidR="00685FF3" w:rsidRPr="00074F4B" w:rsidRDefault="00685FF3" w:rsidP="00BC0C9B">
      <w:pPr>
        <w:pStyle w:val="Akapitzlist"/>
        <w:numPr>
          <w:ilvl w:val="1"/>
          <w:numId w:val="5"/>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Uzasadnienie braku analizy opcji, gdy nie istnieje więcej niż jedno rozwiązanie inwestycyjne</w:t>
      </w:r>
    </w:p>
    <w:p w14:paraId="4019AA6D" w14:textId="77777777" w:rsidR="004170C7" w:rsidRPr="00074F4B" w:rsidRDefault="002B5A4C" w:rsidP="00BC0C9B">
      <w:pPr>
        <w:pStyle w:val="Nagwek1"/>
        <w:numPr>
          <w:ilvl w:val="0"/>
          <w:numId w:val="43"/>
        </w:numPr>
        <w:spacing w:line="288" w:lineRule="auto"/>
        <w:rPr>
          <w:rFonts w:ascii="Open Sans" w:hAnsi="Open Sans" w:cs="Open Sans"/>
          <w:sz w:val="22"/>
          <w:szCs w:val="22"/>
        </w:rPr>
      </w:pPr>
      <w:r w:rsidRPr="00074F4B">
        <w:rPr>
          <w:rFonts w:ascii="Open Sans" w:hAnsi="Open Sans" w:cs="Open Sans"/>
          <w:sz w:val="22"/>
          <w:szCs w:val="22"/>
        </w:rPr>
        <w:t xml:space="preserve">Analiza instytucjonalna przedsięwzięcia </w:t>
      </w:r>
    </w:p>
    <w:p w14:paraId="4019AA6E" w14:textId="1751F957" w:rsidR="004170C7" w:rsidRPr="00074F4B" w:rsidRDefault="002B5A4C" w:rsidP="00BC0C9B">
      <w:pPr>
        <w:pStyle w:val="Akapitzlist"/>
        <w:numPr>
          <w:ilvl w:val="1"/>
          <w:numId w:val="43"/>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 xml:space="preserve">Charakterystyka </w:t>
      </w:r>
      <w:r w:rsidR="00126E67" w:rsidRPr="00074F4B">
        <w:rPr>
          <w:rFonts w:ascii="Open Sans" w:hAnsi="Open Sans" w:cs="Open Sans"/>
          <w:sz w:val="22"/>
        </w:rPr>
        <w:t>rozważanych</w:t>
      </w:r>
      <w:r w:rsidR="00002611" w:rsidRPr="00074F4B">
        <w:rPr>
          <w:rFonts w:ascii="Open Sans" w:hAnsi="Open Sans" w:cs="Open Sans"/>
          <w:sz w:val="22"/>
        </w:rPr>
        <w:t xml:space="preserve"> </w:t>
      </w:r>
      <w:r w:rsidR="00176EBB" w:rsidRPr="00074F4B">
        <w:rPr>
          <w:rFonts w:ascii="Open Sans" w:hAnsi="Open Sans" w:cs="Open Sans"/>
          <w:sz w:val="22"/>
        </w:rPr>
        <w:t>rozwiązań inwestycyjnych w fazie inwestycyjnej i</w:t>
      </w:r>
      <w:r w:rsidR="00E6344C">
        <w:rPr>
          <w:rFonts w:ascii="Open Sans" w:hAnsi="Open Sans" w:cs="Open Sans"/>
          <w:sz w:val="22"/>
        </w:rPr>
        <w:t> </w:t>
      </w:r>
      <w:r w:rsidR="00176EBB" w:rsidRPr="00074F4B">
        <w:rPr>
          <w:rFonts w:ascii="Open Sans" w:hAnsi="Open Sans" w:cs="Open Sans"/>
          <w:sz w:val="22"/>
        </w:rPr>
        <w:t>operacyjnej przedsięwzięcia</w:t>
      </w:r>
    </w:p>
    <w:p w14:paraId="4019AA6F" w14:textId="3F6FD211" w:rsidR="004170C7" w:rsidRPr="00074F4B" w:rsidRDefault="002B5A4C" w:rsidP="00BC0C9B">
      <w:pPr>
        <w:pStyle w:val="Akapitzlist"/>
        <w:numPr>
          <w:ilvl w:val="1"/>
          <w:numId w:val="43"/>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 xml:space="preserve">Analiza SWOT </w:t>
      </w:r>
      <w:r w:rsidR="00176EBB" w:rsidRPr="00074F4B">
        <w:rPr>
          <w:rFonts w:ascii="Open Sans" w:hAnsi="Open Sans" w:cs="Open Sans"/>
          <w:sz w:val="22"/>
        </w:rPr>
        <w:t>zidentyfikowanych</w:t>
      </w:r>
      <w:r w:rsidRPr="00074F4B">
        <w:rPr>
          <w:rFonts w:ascii="Open Sans" w:hAnsi="Open Sans" w:cs="Open Sans"/>
          <w:sz w:val="22"/>
        </w:rPr>
        <w:t xml:space="preserve"> rozwiązań instytucjonalnych </w:t>
      </w:r>
    </w:p>
    <w:p w14:paraId="4019AA70" w14:textId="6460967E" w:rsidR="004170C7" w:rsidRPr="00074F4B" w:rsidRDefault="002B5A4C" w:rsidP="00BC0C9B">
      <w:pPr>
        <w:pStyle w:val="Akapitzlist"/>
        <w:numPr>
          <w:ilvl w:val="1"/>
          <w:numId w:val="43"/>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 xml:space="preserve">Wskazanie </w:t>
      </w:r>
      <w:r w:rsidR="00176EBB" w:rsidRPr="00074F4B">
        <w:rPr>
          <w:rFonts w:ascii="Open Sans" w:hAnsi="Open Sans" w:cs="Open Sans"/>
          <w:sz w:val="22"/>
        </w:rPr>
        <w:t>najefektywniejszego rozwiązania instytucjonalnego wraz z</w:t>
      </w:r>
      <w:r w:rsidR="00E6344C">
        <w:rPr>
          <w:rFonts w:ascii="Open Sans" w:hAnsi="Open Sans" w:cs="Open Sans"/>
          <w:sz w:val="22"/>
        </w:rPr>
        <w:t> </w:t>
      </w:r>
      <w:r w:rsidR="00176EBB" w:rsidRPr="00074F4B">
        <w:rPr>
          <w:rFonts w:ascii="Open Sans" w:hAnsi="Open Sans" w:cs="Open Sans"/>
          <w:sz w:val="22"/>
        </w:rPr>
        <w:t>uzasadnieniem</w:t>
      </w:r>
    </w:p>
    <w:p w14:paraId="4019AA72" w14:textId="77777777" w:rsidR="004170C7" w:rsidRPr="00074F4B" w:rsidRDefault="002B5A4C" w:rsidP="00BC0C9B">
      <w:pPr>
        <w:pStyle w:val="Nagwek1"/>
        <w:numPr>
          <w:ilvl w:val="0"/>
          <w:numId w:val="43"/>
        </w:numPr>
        <w:spacing w:line="288" w:lineRule="auto"/>
        <w:rPr>
          <w:rFonts w:ascii="Open Sans" w:hAnsi="Open Sans" w:cs="Open Sans"/>
          <w:sz w:val="22"/>
          <w:szCs w:val="22"/>
        </w:rPr>
      </w:pPr>
      <w:r w:rsidRPr="00074F4B">
        <w:rPr>
          <w:rFonts w:ascii="Open Sans" w:hAnsi="Open Sans" w:cs="Open Sans"/>
          <w:sz w:val="22"/>
          <w:szCs w:val="22"/>
        </w:rPr>
        <w:t xml:space="preserve">Opis projektu </w:t>
      </w:r>
    </w:p>
    <w:p w14:paraId="4019AA73" w14:textId="2165E0BF" w:rsidR="0067005D" w:rsidRPr="00074F4B" w:rsidRDefault="0067005D" w:rsidP="00BC0C9B">
      <w:pPr>
        <w:pStyle w:val="Akapitzlist"/>
        <w:numPr>
          <w:ilvl w:val="1"/>
          <w:numId w:val="43"/>
        </w:numPr>
        <w:spacing w:before="120" w:after="120" w:line="288" w:lineRule="auto"/>
        <w:ind w:left="567" w:hanging="567"/>
        <w:contextualSpacing w:val="0"/>
        <w:mirrorIndents/>
        <w:rPr>
          <w:rFonts w:ascii="Open Sans" w:hAnsi="Open Sans" w:cs="Open Sans"/>
          <w:vanish/>
          <w:sz w:val="22"/>
        </w:rPr>
      </w:pPr>
      <w:r w:rsidRPr="00074F4B">
        <w:rPr>
          <w:rFonts w:ascii="Open Sans" w:eastAsia="Arial" w:hAnsi="Open Sans" w:cs="Open Sans"/>
          <w:sz w:val="22"/>
        </w:rPr>
        <w:t>Cele projektu</w:t>
      </w:r>
    </w:p>
    <w:p w14:paraId="4019AA74" w14:textId="687A4A2B" w:rsidR="004170C7" w:rsidRPr="00074F4B" w:rsidRDefault="00C2644B" w:rsidP="00BC0C9B">
      <w:pPr>
        <w:pStyle w:val="Akapitzlist"/>
        <w:numPr>
          <w:ilvl w:val="1"/>
          <w:numId w:val="43"/>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 xml:space="preserve"> </w:t>
      </w:r>
      <w:r w:rsidR="002B5A4C" w:rsidRPr="00074F4B">
        <w:rPr>
          <w:rFonts w:ascii="Open Sans" w:hAnsi="Open Sans" w:cs="Open Sans"/>
          <w:sz w:val="22"/>
        </w:rPr>
        <w:t xml:space="preserve">Zakres rzeczowy projektu </w:t>
      </w:r>
      <w:r w:rsidR="00DB180A" w:rsidRPr="00074F4B">
        <w:rPr>
          <w:rFonts w:ascii="Open Sans" w:hAnsi="Open Sans" w:cs="Open Sans"/>
          <w:sz w:val="22"/>
        </w:rPr>
        <w:t>(</w:t>
      </w:r>
      <w:r w:rsidR="006614E2" w:rsidRPr="00074F4B">
        <w:rPr>
          <w:rFonts w:ascii="Open Sans" w:hAnsi="Open Sans" w:cs="Open Sans"/>
          <w:sz w:val="22"/>
        </w:rPr>
        <w:t>w odniesieniu do stwierdzonych niedoborów jakościowych i ilościowych systemu</w:t>
      </w:r>
      <w:r w:rsidR="00DB180A" w:rsidRPr="00074F4B">
        <w:rPr>
          <w:rFonts w:ascii="Open Sans" w:hAnsi="Open Sans" w:cs="Open Sans"/>
          <w:sz w:val="22"/>
        </w:rPr>
        <w:t>)</w:t>
      </w:r>
      <w:r w:rsidR="006C3266" w:rsidRPr="00074F4B">
        <w:rPr>
          <w:rFonts w:ascii="Open Sans" w:hAnsi="Open Sans" w:cs="Open Sans"/>
          <w:sz w:val="22"/>
        </w:rPr>
        <w:t>, wskaźniki</w:t>
      </w:r>
      <w:r w:rsidR="008B3C82" w:rsidRPr="00074F4B">
        <w:rPr>
          <w:rFonts w:ascii="Open Sans" w:hAnsi="Open Sans" w:cs="Open Sans"/>
          <w:sz w:val="22"/>
        </w:rPr>
        <w:t xml:space="preserve"> (wartości docelowe winny być obiektywnie weryfikowalne, uzasadnione, realne i adekwatne do założeń projektu oraz przyczyniają się do osiągnięcia wartości wskaźników w</w:t>
      </w:r>
      <w:r w:rsidR="00E6344C">
        <w:rPr>
          <w:rFonts w:ascii="Open Sans" w:hAnsi="Open Sans" w:cs="Open Sans"/>
          <w:sz w:val="22"/>
        </w:rPr>
        <w:t> </w:t>
      </w:r>
      <w:proofErr w:type="spellStart"/>
      <w:r w:rsidR="00666B33" w:rsidRPr="00074F4B">
        <w:rPr>
          <w:rFonts w:ascii="Open Sans" w:hAnsi="Open Sans" w:cs="Open Sans"/>
          <w:sz w:val="22"/>
        </w:rPr>
        <w:t>FEnIKS</w:t>
      </w:r>
      <w:proofErr w:type="spellEnd"/>
      <w:r w:rsidR="008B3C82" w:rsidRPr="00074F4B">
        <w:rPr>
          <w:rFonts w:ascii="Open Sans" w:hAnsi="Open Sans" w:cs="Open Sans"/>
          <w:sz w:val="22"/>
        </w:rPr>
        <w:t>)</w:t>
      </w:r>
    </w:p>
    <w:p w14:paraId="4019AA75" w14:textId="2BA49427" w:rsidR="004170C7" w:rsidRPr="00074F4B" w:rsidRDefault="002B5A4C" w:rsidP="00BC0C9B">
      <w:pPr>
        <w:pStyle w:val="Akapitzlist"/>
        <w:numPr>
          <w:ilvl w:val="1"/>
          <w:numId w:val="43"/>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 xml:space="preserve">Opis i charakterystyka wybranej technologii  </w:t>
      </w:r>
    </w:p>
    <w:p w14:paraId="4019AA76" w14:textId="5F3882D3" w:rsidR="004170C7" w:rsidRPr="00074F4B" w:rsidRDefault="002B5A4C" w:rsidP="00BC0C9B">
      <w:pPr>
        <w:pStyle w:val="Akapitzlist"/>
        <w:numPr>
          <w:ilvl w:val="2"/>
          <w:numId w:val="43"/>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 xml:space="preserve">Podstawowe parametry technologiczne </w:t>
      </w:r>
    </w:p>
    <w:p w14:paraId="4019AA77" w14:textId="367C5120" w:rsidR="004170C7" w:rsidRPr="00074F4B" w:rsidRDefault="002B5A4C" w:rsidP="00BC0C9B">
      <w:pPr>
        <w:pStyle w:val="Akapitzlist"/>
        <w:numPr>
          <w:ilvl w:val="2"/>
          <w:numId w:val="43"/>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Opis podstawowych obiektów i urządzeń</w:t>
      </w:r>
      <w:r w:rsidR="00DB180A" w:rsidRPr="00074F4B">
        <w:rPr>
          <w:rFonts w:ascii="Open Sans" w:hAnsi="Open Sans" w:cs="Open Sans"/>
          <w:sz w:val="22"/>
        </w:rPr>
        <w:t xml:space="preserve">, </w:t>
      </w:r>
      <w:r w:rsidR="00B12417" w:rsidRPr="00074F4B">
        <w:rPr>
          <w:rFonts w:ascii="Open Sans" w:hAnsi="Open Sans" w:cs="Open Sans"/>
          <w:sz w:val="22"/>
        </w:rPr>
        <w:t xml:space="preserve">w tym urządzeń wodnych, </w:t>
      </w:r>
      <w:r w:rsidR="00DB180A" w:rsidRPr="00074F4B">
        <w:rPr>
          <w:rFonts w:ascii="Open Sans" w:hAnsi="Open Sans" w:cs="Open Sans"/>
          <w:sz w:val="22"/>
        </w:rPr>
        <w:t>w</w:t>
      </w:r>
      <w:r w:rsidR="00E6344C">
        <w:rPr>
          <w:rFonts w:ascii="Open Sans" w:hAnsi="Open Sans" w:cs="Open Sans"/>
          <w:sz w:val="22"/>
        </w:rPr>
        <w:t> </w:t>
      </w:r>
      <w:r w:rsidR="00DB180A" w:rsidRPr="00074F4B">
        <w:rPr>
          <w:rFonts w:ascii="Open Sans" w:hAnsi="Open Sans" w:cs="Open Sans"/>
          <w:sz w:val="22"/>
        </w:rPr>
        <w:t>tym</w:t>
      </w:r>
      <w:r w:rsidR="00CB0E0E" w:rsidRPr="00074F4B">
        <w:rPr>
          <w:rFonts w:ascii="Open Sans" w:hAnsi="Open Sans" w:cs="Open Sans"/>
          <w:sz w:val="22"/>
        </w:rPr>
        <w:t xml:space="preserve"> zakres działań podejmowanych w ramach przedsięwzięcia</w:t>
      </w:r>
    </w:p>
    <w:p w14:paraId="4019AA78" w14:textId="5A411BFB" w:rsidR="00E56B00" w:rsidRPr="00074F4B" w:rsidRDefault="00E56B00" w:rsidP="00BC0C9B">
      <w:pPr>
        <w:pStyle w:val="Akapitzlist"/>
        <w:numPr>
          <w:ilvl w:val="2"/>
          <w:numId w:val="43"/>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Wpływ realizacji projekt</w:t>
      </w:r>
      <w:r w:rsidR="00B658F2" w:rsidRPr="00074F4B">
        <w:rPr>
          <w:rFonts w:ascii="Open Sans" w:hAnsi="Open Sans" w:cs="Open Sans"/>
          <w:sz w:val="22"/>
        </w:rPr>
        <w:t>u</w:t>
      </w:r>
      <w:r w:rsidRPr="00074F4B">
        <w:rPr>
          <w:rFonts w:ascii="Open Sans" w:hAnsi="Open Sans" w:cs="Open Sans"/>
          <w:sz w:val="22"/>
        </w:rPr>
        <w:t xml:space="preserve"> na </w:t>
      </w:r>
      <w:r w:rsidR="00F45A24" w:rsidRPr="00074F4B">
        <w:rPr>
          <w:rFonts w:ascii="Open Sans" w:hAnsi="Open Sans" w:cs="Open Sans"/>
          <w:sz w:val="22"/>
        </w:rPr>
        <w:t>zapewnienie oszczędności wody</w:t>
      </w:r>
      <w:r w:rsidR="00580948" w:rsidRPr="00074F4B">
        <w:rPr>
          <w:rFonts w:ascii="Open Sans" w:hAnsi="Open Sans" w:cs="Open Sans"/>
          <w:sz w:val="22"/>
        </w:rPr>
        <w:t xml:space="preserve"> i</w:t>
      </w:r>
      <w:r w:rsidR="00E6344C">
        <w:rPr>
          <w:rFonts w:ascii="Open Sans" w:hAnsi="Open Sans" w:cs="Open Sans"/>
          <w:sz w:val="22"/>
        </w:rPr>
        <w:t> </w:t>
      </w:r>
      <w:r w:rsidR="00580948" w:rsidRPr="00074F4B">
        <w:rPr>
          <w:rFonts w:ascii="Open Sans" w:hAnsi="Open Sans" w:cs="Open Sans"/>
          <w:sz w:val="22"/>
        </w:rPr>
        <w:t>efektywność energetyczną (o ile dotyczy)</w:t>
      </w:r>
    </w:p>
    <w:p w14:paraId="4019AA79" w14:textId="3DFAF5FC" w:rsidR="004170C7" w:rsidRPr="00074F4B" w:rsidRDefault="002B5A4C" w:rsidP="00BC0C9B">
      <w:pPr>
        <w:pStyle w:val="Akapitzlist"/>
        <w:numPr>
          <w:ilvl w:val="1"/>
          <w:numId w:val="43"/>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 xml:space="preserve">Lokalizacja przedsięwzięcia </w:t>
      </w:r>
    </w:p>
    <w:p w14:paraId="4019AA7A" w14:textId="2A45025F" w:rsidR="004170C7" w:rsidRPr="00074F4B" w:rsidRDefault="002B5A4C" w:rsidP="00BC0C9B">
      <w:pPr>
        <w:pStyle w:val="Akapitzlist"/>
        <w:numPr>
          <w:ilvl w:val="2"/>
          <w:numId w:val="43"/>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Opis lokalizacji przedsięwzięcia</w:t>
      </w:r>
    </w:p>
    <w:p w14:paraId="4019AA7B" w14:textId="3F243116" w:rsidR="004170C7" w:rsidRPr="00074F4B" w:rsidRDefault="002B5A4C" w:rsidP="00BC0C9B">
      <w:pPr>
        <w:pStyle w:val="Akapitzlist"/>
        <w:numPr>
          <w:ilvl w:val="2"/>
          <w:numId w:val="43"/>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Dostępność terenów pod inwestycje, koszty zakupu oraz rekompensat</w:t>
      </w:r>
      <w:r w:rsidR="00580948" w:rsidRPr="00074F4B">
        <w:rPr>
          <w:rFonts w:ascii="Open Sans" w:hAnsi="Open Sans" w:cs="Open Sans"/>
          <w:sz w:val="22"/>
        </w:rPr>
        <w:t xml:space="preserve"> </w:t>
      </w:r>
    </w:p>
    <w:p w14:paraId="4019AA7C" w14:textId="4D0FE1E6" w:rsidR="004170C7" w:rsidRPr="00074F4B" w:rsidRDefault="002B5A4C" w:rsidP="00BC0C9B">
      <w:pPr>
        <w:pStyle w:val="Akapitzlist"/>
        <w:numPr>
          <w:ilvl w:val="2"/>
          <w:numId w:val="43"/>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Zgodność przedsięwzięcia z miejscowymi planami zagospodarowania przestrzennego</w:t>
      </w:r>
      <w:r w:rsidR="008B3C82" w:rsidRPr="00074F4B">
        <w:rPr>
          <w:rFonts w:ascii="Open Sans" w:hAnsi="Open Sans" w:cs="Open Sans"/>
          <w:sz w:val="22"/>
        </w:rPr>
        <w:t xml:space="preserve"> </w:t>
      </w:r>
    </w:p>
    <w:p w14:paraId="4019AA7D" w14:textId="6A54D6EC" w:rsidR="004170C7" w:rsidRPr="00074F4B" w:rsidRDefault="002B5A4C" w:rsidP="00BC0C9B">
      <w:pPr>
        <w:pStyle w:val="Akapitzlist"/>
        <w:numPr>
          <w:ilvl w:val="1"/>
          <w:numId w:val="43"/>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 xml:space="preserve">Kwalifikowane i niekwalifikowane koszty inwestycyjne projektu ze wskazaniem przyjętej metodyki ich szacowania </w:t>
      </w:r>
    </w:p>
    <w:p w14:paraId="4019AA7E" w14:textId="1B8A9254" w:rsidR="004170C7" w:rsidRPr="00074F4B" w:rsidRDefault="002B5A4C" w:rsidP="00BC0C9B">
      <w:pPr>
        <w:pStyle w:val="Akapitzlist"/>
        <w:numPr>
          <w:ilvl w:val="2"/>
          <w:numId w:val="43"/>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 xml:space="preserve">Koszty przygotowawcze </w:t>
      </w:r>
    </w:p>
    <w:p w14:paraId="4019AA7F" w14:textId="03D0AD41" w:rsidR="00CB0E0E" w:rsidRPr="00074F4B" w:rsidRDefault="002B5A4C" w:rsidP="00BC0C9B">
      <w:pPr>
        <w:pStyle w:val="Akapitzlist"/>
        <w:numPr>
          <w:ilvl w:val="2"/>
          <w:numId w:val="43"/>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 xml:space="preserve">Koszty prac budowlano – </w:t>
      </w:r>
      <w:r w:rsidR="00126E67" w:rsidRPr="00074F4B">
        <w:rPr>
          <w:rFonts w:ascii="Open Sans" w:hAnsi="Open Sans" w:cs="Open Sans"/>
          <w:sz w:val="22"/>
        </w:rPr>
        <w:t>montażowych</w:t>
      </w:r>
      <w:r w:rsidR="0003768E" w:rsidRPr="00074F4B">
        <w:rPr>
          <w:rFonts w:ascii="Open Sans" w:hAnsi="Open Sans" w:cs="Open Sans"/>
          <w:sz w:val="22"/>
        </w:rPr>
        <w:t>,</w:t>
      </w:r>
      <w:r w:rsidRPr="00074F4B">
        <w:rPr>
          <w:rFonts w:ascii="Open Sans" w:hAnsi="Open Sans" w:cs="Open Sans"/>
          <w:sz w:val="22"/>
        </w:rPr>
        <w:t xml:space="preserve"> wielkość nakładów na majątek trwały</w:t>
      </w:r>
    </w:p>
    <w:p w14:paraId="4019AA80" w14:textId="4AEBD138" w:rsidR="004170C7" w:rsidRPr="00074F4B" w:rsidRDefault="0003768E" w:rsidP="00BC0C9B">
      <w:pPr>
        <w:pStyle w:val="Akapitzlist"/>
        <w:numPr>
          <w:ilvl w:val="2"/>
          <w:numId w:val="43"/>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Pozostałe kategorie kosztów</w:t>
      </w:r>
    </w:p>
    <w:p w14:paraId="4019AA81" w14:textId="76281E9F" w:rsidR="004170C7" w:rsidRPr="00074F4B" w:rsidRDefault="00706251" w:rsidP="00BC0C9B">
      <w:pPr>
        <w:pStyle w:val="Akapitzlist"/>
        <w:numPr>
          <w:ilvl w:val="1"/>
          <w:numId w:val="43"/>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 xml:space="preserve">Stopień przygotowania przedsięwzięcia do realizacji </w:t>
      </w:r>
      <w:r w:rsidR="008B3C82" w:rsidRPr="00074F4B">
        <w:rPr>
          <w:rFonts w:ascii="Open Sans" w:hAnsi="Open Sans" w:cs="Open Sans"/>
          <w:sz w:val="22"/>
        </w:rPr>
        <w:t>w tym zestawienie zadań inwestycyjnych</w:t>
      </w:r>
    </w:p>
    <w:p w14:paraId="5C0D194B" w14:textId="6E99E237" w:rsidR="00580948" w:rsidRPr="00074F4B" w:rsidRDefault="0003768E" w:rsidP="00BC0C9B">
      <w:pPr>
        <w:pStyle w:val="Akapitzlist"/>
        <w:numPr>
          <w:ilvl w:val="1"/>
          <w:numId w:val="43"/>
        </w:numPr>
        <w:spacing w:before="120" w:after="120" w:line="288" w:lineRule="auto"/>
        <w:ind w:left="567" w:hanging="567"/>
        <w:contextualSpacing w:val="0"/>
        <w:rPr>
          <w:rFonts w:ascii="Open Sans" w:eastAsia="Arial" w:hAnsi="Open Sans" w:cs="Open Sans"/>
          <w:sz w:val="22"/>
        </w:rPr>
      </w:pPr>
      <w:r w:rsidRPr="00074F4B">
        <w:rPr>
          <w:rFonts w:ascii="Open Sans" w:eastAsia="Arial" w:hAnsi="Open Sans" w:cs="Open Sans"/>
          <w:sz w:val="22"/>
        </w:rPr>
        <w:t>Działania informacyjno-promocyjne</w:t>
      </w:r>
    </w:p>
    <w:p w14:paraId="7D8E940B" w14:textId="77142FC9" w:rsidR="00580948" w:rsidRPr="00074F4B" w:rsidRDefault="00176EBB" w:rsidP="00BC0C9B">
      <w:pPr>
        <w:pStyle w:val="Akapitzlist"/>
        <w:numPr>
          <w:ilvl w:val="1"/>
          <w:numId w:val="43"/>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Nie</w:t>
      </w:r>
      <w:r w:rsidR="00580948" w:rsidRPr="00074F4B">
        <w:rPr>
          <w:rFonts w:ascii="Open Sans" w:hAnsi="Open Sans" w:cs="Open Sans"/>
          <w:sz w:val="22"/>
        </w:rPr>
        <w:t>zbędne inwestycje odtworzeniowe</w:t>
      </w:r>
    </w:p>
    <w:p w14:paraId="4019AA85" w14:textId="1529D6B4" w:rsidR="004170C7" w:rsidRPr="00074F4B" w:rsidRDefault="002B5A4C" w:rsidP="00BC0C9B">
      <w:pPr>
        <w:pStyle w:val="Nagwek1"/>
        <w:numPr>
          <w:ilvl w:val="0"/>
          <w:numId w:val="43"/>
        </w:numPr>
        <w:spacing w:line="288" w:lineRule="auto"/>
        <w:rPr>
          <w:rFonts w:ascii="Open Sans" w:hAnsi="Open Sans" w:cs="Open Sans"/>
          <w:sz w:val="22"/>
          <w:szCs w:val="22"/>
        </w:rPr>
      </w:pPr>
      <w:r w:rsidRPr="00074F4B">
        <w:rPr>
          <w:rFonts w:ascii="Open Sans" w:hAnsi="Open Sans" w:cs="Open Sans"/>
          <w:sz w:val="22"/>
          <w:szCs w:val="22"/>
        </w:rPr>
        <w:t>Analiza oddziaływania na środowisko</w:t>
      </w:r>
      <w:r w:rsidR="0003768E" w:rsidRPr="00074F4B">
        <w:rPr>
          <w:rFonts w:ascii="Open Sans" w:hAnsi="Open Sans" w:cs="Open Sans"/>
          <w:sz w:val="22"/>
          <w:szCs w:val="22"/>
        </w:rPr>
        <w:t xml:space="preserve">, z uwzględnieniem potrzeb dotyczących przystosowania się i łagodzenia zmian klimatu oraz odporności na klęski </w:t>
      </w:r>
      <w:r w:rsidR="00216695" w:rsidRPr="00074F4B">
        <w:rPr>
          <w:rFonts w:ascii="Open Sans" w:hAnsi="Open Sans" w:cs="Open Sans"/>
          <w:sz w:val="22"/>
          <w:szCs w:val="22"/>
        </w:rPr>
        <w:t>żywiołowe</w:t>
      </w:r>
      <w:r w:rsidR="00580948" w:rsidRPr="00074F4B">
        <w:rPr>
          <w:rFonts w:ascii="Open Sans" w:hAnsi="Open Sans" w:cs="Open Sans"/>
          <w:sz w:val="22"/>
          <w:szCs w:val="22"/>
        </w:rPr>
        <w:t xml:space="preserve"> oraz Ramowej Dyrektywy Wodnej</w:t>
      </w:r>
    </w:p>
    <w:p w14:paraId="4019AA86" w14:textId="1852AF4D" w:rsidR="004170C7" w:rsidRPr="00074F4B" w:rsidRDefault="00F17F59" w:rsidP="00BC0C9B">
      <w:pPr>
        <w:pStyle w:val="Akapitzlist"/>
        <w:numPr>
          <w:ilvl w:val="1"/>
          <w:numId w:val="43"/>
        </w:numPr>
        <w:spacing w:before="120" w:after="120" w:line="288" w:lineRule="auto"/>
        <w:ind w:left="567" w:hanging="567"/>
        <w:contextualSpacing w:val="0"/>
        <w:mirrorIndents/>
        <w:rPr>
          <w:rFonts w:ascii="Open Sans" w:hAnsi="Open Sans" w:cs="Open Sans"/>
          <w:sz w:val="22"/>
        </w:rPr>
      </w:pPr>
      <w:r w:rsidRPr="00074F4B">
        <w:rPr>
          <w:rFonts w:ascii="Open Sans" w:eastAsia="Arial" w:hAnsi="Open Sans" w:cs="Open Sans"/>
          <w:sz w:val="22"/>
        </w:rPr>
        <w:t>Zgodność projektu z politykami ochrony środowiska</w:t>
      </w:r>
    </w:p>
    <w:p w14:paraId="4019AA87" w14:textId="0EDB407B" w:rsidR="004170C7" w:rsidRPr="00074F4B" w:rsidRDefault="002B5A4C" w:rsidP="00BC0C9B">
      <w:pPr>
        <w:pStyle w:val="Akapitzlist"/>
        <w:numPr>
          <w:ilvl w:val="2"/>
          <w:numId w:val="43"/>
        </w:numPr>
        <w:spacing w:before="120" w:after="120" w:line="288" w:lineRule="auto"/>
        <w:ind w:left="1134" w:hanging="567"/>
        <w:contextualSpacing w:val="0"/>
        <w:rPr>
          <w:rFonts w:ascii="Open Sans" w:hAnsi="Open Sans" w:cs="Open Sans"/>
          <w:sz w:val="22"/>
        </w:rPr>
      </w:pPr>
      <w:bookmarkStart w:id="0" w:name="_Ref146028259"/>
      <w:r w:rsidRPr="00074F4B">
        <w:rPr>
          <w:rFonts w:ascii="Open Sans" w:hAnsi="Open Sans" w:cs="Open Sans"/>
          <w:sz w:val="22"/>
        </w:rPr>
        <w:t xml:space="preserve">Sposób </w:t>
      </w:r>
      <w:r w:rsidR="00126E67" w:rsidRPr="00074F4B">
        <w:rPr>
          <w:rFonts w:ascii="Open Sans" w:hAnsi="Open Sans" w:cs="Open Sans"/>
          <w:sz w:val="22"/>
        </w:rPr>
        <w:t>wdrożenia</w:t>
      </w:r>
      <w:r w:rsidRPr="00074F4B">
        <w:rPr>
          <w:rFonts w:ascii="Open Sans" w:hAnsi="Open Sans" w:cs="Open Sans"/>
          <w:sz w:val="22"/>
        </w:rPr>
        <w:t xml:space="preserve"> przez projekt </w:t>
      </w:r>
      <w:r w:rsidR="002A18DA" w:rsidRPr="00074F4B">
        <w:rPr>
          <w:rFonts w:ascii="Open Sans" w:hAnsi="Open Sans" w:cs="Open Sans"/>
          <w:sz w:val="22"/>
        </w:rPr>
        <w:t xml:space="preserve">celów </w:t>
      </w:r>
      <w:r w:rsidRPr="00074F4B">
        <w:rPr>
          <w:rFonts w:ascii="Open Sans" w:hAnsi="Open Sans" w:cs="Open Sans"/>
          <w:sz w:val="22"/>
        </w:rPr>
        <w:t xml:space="preserve">polityki </w:t>
      </w:r>
      <w:r w:rsidR="002A18DA" w:rsidRPr="00074F4B">
        <w:rPr>
          <w:rFonts w:ascii="Open Sans" w:hAnsi="Open Sans" w:cs="Open Sans"/>
          <w:sz w:val="22"/>
        </w:rPr>
        <w:t xml:space="preserve">ochrony środowiska </w:t>
      </w:r>
      <w:r w:rsidRPr="00074F4B">
        <w:rPr>
          <w:rFonts w:ascii="Open Sans" w:hAnsi="Open Sans" w:cs="Open Sans"/>
          <w:sz w:val="22"/>
        </w:rPr>
        <w:t>UE</w:t>
      </w:r>
      <w:r w:rsidR="002A18DA" w:rsidRPr="00074F4B">
        <w:rPr>
          <w:rFonts w:ascii="Open Sans" w:hAnsi="Open Sans" w:cs="Open Sans"/>
          <w:sz w:val="22"/>
        </w:rPr>
        <w:t>,</w:t>
      </w:r>
      <w:r w:rsidRPr="00074F4B">
        <w:rPr>
          <w:rFonts w:ascii="Open Sans" w:hAnsi="Open Sans" w:cs="Open Sans"/>
          <w:sz w:val="22"/>
        </w:rPr>
        <w:t xml:space="preserve"> w</w:t>
      </w:r>
      <w:r w:rsidR="00E6344C">
        <w:rPr>
          <w:rFonts w:ascii="Open Sans" w:hAnsi="Open Sans" w:cs="Open Sans"/>
          <w:sz w:val="22"/>
        </w:rPr>
        <w:t> </w:t>
      </w:r>
      <w:r w:rsidR="002A18DA" w:rsidRPr="00074F4B">
        <w:rPr>
          <w:rFonts w:ascii="Open Sans" w:hAnsi="Open Sans" w:cs="Open Sans"/>
          <w:sz w:val="22"/>
        </w:rPr>
        <w:t xml:space="preserve">tym w </w:t>
      </w:r>
      <w:r w:rsidRPr="00074F4B">
        <w:rPr>
          <w:rFonts w:ascii="Open Sans" w:hAnsi="Open Sans" w:cs="Open Sans"/>
          <w:sz w:val="22"/>
        </w:rPr>
        <w:t xml:space="preserve">zakresie </w:t>
      </w:r>
      <w:r w:rsidR="00126E67" w:rsidRPr="00074F4B">
        <w:rPr>
          <w:rFonts w:ascii="Open Sans" w:hAnsi="Open Sans" w:cs="Open Sans"/>
          <w:sz w:val="22"/>
        </w:rPr>
        <w:t>zrównoważonego</w:t>
      </w:r>
      <w:r w:rsidRPr="00074F4B">
        <w:rPr>
          <w:rFonts w:ascii="Open Sans" w:hAnsi="Open Sans" w:cs="Open Sans"/>
          <w:sz w:val="22"/>
        </w:rPr>
        <w:t xml:space="preserve"> rozwoju</w:t>
      </w:r>
      <w:r w:rsidR="0003768E" w:rsidRPr="00074F4B">
        <w:rPr>
          <w:rFonts w:ascii="Open Sans" w:hAnsi="Open Sans" w:cs="Open Sans"/>
          <w:sz w:val="22"/>
        </w:rPr>
        <w:t xml:space="preserve">, </w:t>
      </w:r>
      <w:r w:rsidR="002A18DA" w:rsidRPr="00074F4B">
        <w:rPr>
          <w:rFonts w:ascii="Open Sans" w:hAnsi="Open Sans" w:cs="Open Sans"/>
          <w:sz w:val="22"/>
        </w:rPr>
        <w:t>efektywnej gospodarki zasobami, zachowania bioróżnorodności,</w:t>
      </w:r>
      <w:r w:rsidR="0003768E" w:rsidRPr="00074F4B">
        <w:rPr>
          <w:rFonts w:ascii="Open Sans" w:hAnsi="Open Sans" w:cs="Open Sans"/>
          <w:sz w:val="22"/>
        </w:rPr>
        <w:t xml:space="preserve"> zmian klimatu</w:t>
      </w:r>
      <w:r w:rsidR="002A18DA" w:rsidRPr="00074F4B">
        <w:rPr>
          <w:rFonts w:ascii="Open Sans" w:hAnsi="Open Sans" w:cs="Open Sans"/>
          <w:sz w:val="22"/>
        </w:rPr>
        <w:t xml:space="preserve"> (zmniejszenie emisji gazów cieplarnianych, odporność na skutki zmian klimatu, itp.)</w:t>
      </w:r>
      <w:bookmarkEnd w:id="0"/>
    </w:p>
    <w:p w14:paraId="4019AA88" w14:textId="564CD98E" w:rsidR="004170C7" w:rsidRPr="00074F4B" w:rsidRDefault="002A18DA" w:rsidP="00BC0C9B">
      <w:pPr>
        <w:pStyle w:val="Akapitzlist"/>
        <w:numPr>
          <w:ilvl w:val="2"/>
          <w:numId w:val="43"/>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Zgodność projektu z zasadą „nie czyń poważnych szkód” środowisku</w:t>
      </w:r>
      <w:r w:rsidR="002D14DB" w:rsidRPr="00074F4B">
        <w:rPr>
          <w:rFonts w:ascii="Open Sans" w:hAnsi="Open Sans" w:cs="Open Sans"/>
          <w:sz w:val="22"/>
        </w:rPr>
        <w:t>,</w:t>
      </w:r>
      <w:r w:rsidRPr="00074F4B">
        <w:rPr>
          <w:rFonts w:ascii="Open Sans" w:hAnsi="Open Sans" w:cs="Open Sans"/>
          <w:sz w:val="22"/>
        </w:rPr>
        <w:t xml:space="preserve"> tj</w:t>
      </w:r>
      <w:r w:rsidR="00790DF7" w:rsidRPr="00074F4B">
        <w:rPr>
          <w:rFonts w:ascii="Open Sans" w:hAnsi="Open Sans" w:cs="Open Sans"/>
          <w:sz w:val="22"/>
        </w:rPr>
        <w:t>.</w:t>
      </w:r>
      <w:r w:rsidR="00E6344C">
        <w:rPr>
          <w:rFonts w:ascii="Open Sans" w:hAnsi="Open Sans" w:cs="Open Sans"/>
          <w:sz w:val="22"/>
        </w:rPr>
        <w:t> </w:t>
      </w:r>
      <w:r w:rsidR="00790DF7" w:rsidRPr="00074F4B">
        <w:rPr>
          <w:rFonts w:ascii="Open Sans" w:hAnsi="Open Sans" w:cs="Open Sans"/>
          <w:sz w:val="22"/>
        </w:rPr>
        <w:t>do</w:t>
      </w:r>
      <w:r w:rsidR="00E6344C">
        <w:rPr>
          <w:rFonts w:ascii="Open Sans" w:hAnsi="Open Sans" w:cs="Open Sans"/>
          <w:sz w:val="22"/>
        </w:rPr>
        <w:t> </w:t>
      </w:r>
      <w:r w:rsidR="00790DF7" w:rsidRPr="00074F4B">
        <w:rPr>
          <w:rFonts w:ascii="Open Sans" w:hAnsi="Open Sans" w:cs="Open Sans"/>
          <w:sz w:val="22"/>
        </w:rPr>
        <w:t xml:space="preserve">no </w:t>
      </w:r>
      <w:proofErr w:type="spellStart"/>
      <w:r w:rsidR="00790DF7" w:rsidRPr="00074F4B">
        <w:rPr>
          <w:rFonts w:ascii="Open Sans" w:hAnsi="Open Sans" w:cs="Open Sans"/>
          <w:sz w:val="22"/>
        </w:rPr>
        <w:t>significant</w:t>
      </w:r>
      <w:proofErr w:type="spellEnd"/>
      <w:r w:rsidR="00790DF7" w:rsidRPr="00074F4B">
        <w:rPr>
          <w:rFonts w:ascii="Open Sans" w:hAnsi="Open Sans" w:cs="Open Sans"/>
          <w:sz w:val="22"/>
        </w:rPr>
        <w:t xml:space="preserve"> </w:t>
      </w:r>
      <w:proofErr w:type="spellStart"/>
      <w:r w:rsidR="00790DF7" w:rsidRPr="00074F4B">
        <w:rPr>
          <w:rFonts w:ascii="Open Sans" w:hAnsi="Open Sans" w:cs="Open Sans"/>
          <w:sz w:val="22"/>
        </w:rPr>
        <w:t>harm</w:t>
      </w:r>
      <w:proofErr w:type="spellEnd"/>
      <w:r w:rsidR="00790DF7" w:rsidRPr="00074F4B">
        <w:rPr>
          <w:rFonts w:ascii="Open Sans" w:hAnsi="Open Sans" w:cs="Open Sans"/>
          <w:sz w:val="22"/>
        </w:rPr>
        <w:t xml:space="preserve"> (DNSH)</w:t>
      </w:r>
    </w:p>
    <w:p w14:paraId="2E44EB38" w14:textId="5D431345" w:rsidR="00653625" w:rsidRPr="00074F4B" w:rsidRDefault="002B5A4C" w:rsidP="00BC0C9B">
      <w:pPr>
        <w:pStyle w:val="Akapitzlist"/>
        <w:numPr>
          <w:ilvl w:val="2"/>
          <w:numId w:val="43"/>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 xml:space="preserve">Sposób </w:t>
      </w:r>
      <w:r w:rsidR="00126E67" w:rsidRPr="00074F4B">
        <w:rPr>
          <w:rFonts w:ascii="Open Sans" w:hAnsi="Open Sans" w:cs="Open Sans"/>
          <w:sz w:val="22"/>
        </w:rPr>
        <w:t>wdrożenia</w:t>
      </w:r>
      <w:r w:rsidRPr="00074F4B">
        <w:rPr>
          <w:rFonts w:ascii="Open Sans" w:hAnsi="Open Sans" w:cs="Open Sans"/>
          <w:sz w:val="22"/>
        </w:rPr>
        <w:t xml:space="preserve"> przez projekt zasady </w:t>
      </w:r>
      <w:r w:rsidR="00653625" w:rsidRPr="00074F4B">
        <w:rPr>
          <w:rFonts w:ascii="Open Sans" w:hAnsi="Open Sans" w:cs="Open Sans"/>
          <w:sz w:val="22"/>
        </w:rPr>
        <w:t>ostrożności, zasady działania zapobiegawczego, zasady naprawiania szkody w pierwszym rzędzie u</w:t>
      </w:r>
      <w:r w:rsidR="00E6344C">
        <w:rPr>
          <w:rFonts w:ascii="Open Sans" w:hAnsi="Open Sans" w:cs="Open Sans"/>
          <w:sz w:val="22"/>
        </w:rPr>
        <w:t> </w:t>
      </w:r>
      <w:r w:rsidR="00653625" w:rsidRPr="00074F4B">
        <w:rPr>
          <w:rFonts w:ascii="Open Sans" w:hAnsi="Open Sans" w:cs="Open Sans"/>
          <w:sz w:val="22"/>
        </w:rPr>
        <w:t>źródła,</w:t>
      </w:r>
      <w:r w:rsidR="00790DF7" w:rsidRPr="00074F4B">
        <w:rPr>
          <w:rFonts w:ascii="Open Sans" w:hAnsi="Open Sans" w:cs="Open Sans"/>
          <w:sz w:val="22"/>
        </w:rPr>
        <w:t xml:space="preserve"> zasady zanieczyszczający płaci</w:t>
      </w:r>
    </w:p>
    <w:p w14:paraId="4019AA8B" w14:textId="4D660ADE" w:rsidR="004170C7" w:rsidRPr="00074F4B" w:rsidRDefault="002B5A4C" w:rsidP="00BC0C9B">
      <w:pPr>
        <w:pStyle w:val="Akapitzlist"/>
        <w:numPr>
          <w:ilvl w:val="1"/>
          <w:numId w:val="43"/>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 xml:space="preserve">Ocena oddziaływania przedsięwzięcia na środowisko (OOŚ) </w:t>
      </w:r>
    </w:p>
    <w:p w14:paraId="4019AA8C" w14:textId="7147337A" w:rsidR="004170C7" w:rsidRPr="00074F4B" w:rsidRDefault="002B5A4C" w:rsidP="00BC0C9B">
      <w:pPr>
        <w:pStyle w:val="Akapitzlist"/>
        <w:numPr>
          <w:ilvl w:val="2"/>
          <w:numId w:val="43"/>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Klasyfikacja przedsięwzięcia pod k</w:t>
      </w:r>
      <w:r w:rsidR="00653625" w:rsidRPr="00074F4B">
        <w:rPr>
          <w:rFonts w:ascii="Open Sans" w:hAnsi="Open Sans" w:cs="Open Sans"/>
          <w:sz w:val="22"/>
        </w:rPr>
        <w:t>ą</w:t>
      </w:r>
      <w:r w:rsidRPr="00074F4B">
        <w:rPr>
          <w:rFonts w:ascii="Open Sans" w:hAnsi="Open Sans" w:cs="Open Sans"/>
          <w:sz w:val="22"/>
        </w:rPr>
        <w:t>tem wymogu przeprowadzenia oceny oddziaływania na środowisko w świetle przepisów prawa polskiego i UE</w:t>
      </w:r>
    </w:p>
    <w:p w14:paraId="4019AA8D" w14:textId="538EC15C" w:rsidR="0003768E" w:rsidRPr="00074F4B" w:rsidRDefault="0003768E" w:rsidP="00BC0C9B">
      <w:pPr>
        <w:pStyle w:val="Akapitzlist"/>
        <w:numPr>
          <w:ilvl w:val="2"/>
          <w:numId w:val="43"/>
        </w:numPr>
        <w:spacing w:before="120" w:after="120" w:line="288" w:lineRule="auto"/>
        <w:ind w:left="1134" w:hanging="567"/>
        <w:contextualSpacing w:val="0"/>
        <w:rPr>
          <w:rFonts w:ascii="Open Sans" w:hAnsi="Open Sans" w:cs="Open Sans"/>
          <w:sz w:val="22"/>
        </w:rPr>
      </w:pPr>
      <w:r w:rsidRPr="00074F4B">
        <w:rPr>
          <w:rFonts w:ascii="Open Sans" w:eastAsia="Arial" w:hAnsi="Open Sans" w:cs="Open Sans"/>
          <w:sz w:val="22"/>
        </w:rPr>
        <w:t>Ocena oddziaływania przedsięwzięcia na środowisko</w:t>
      </w:r>
      <w:r w:rsidRPr="00074F4B">
        <w:rPr>
          <w:rFonts w:ascii="Open Sans" w:hAnsi="Open Sans" w:cs="Open Sans"/>
          <w:sz w:val="22"/>
        </w:rPr>
        <w:t xml:space="preserve"> wraz z prezentacją przeprowadzonych postępowań administracyjnych</w:t>
      </w:r>
    </w:p>
    <w:p w14:paraId="4019AA8E" w14:textId="573EA22D" w:rsidR="0003768E" w:rsidRPr="00074F4B" w:rsidRDefault="00BF1B62" w:rsidP="00BC0C9B">
      <w:pPr>
        <w:pStyle w:val="Akapitzlist"/>
        <w:numPr>
          <w:ilvl w:val="3"/>
          <w:numId w:val="43"/>
        </w:numPr>
        <w:spacing w:before="120" w:after="120" w:line="288" w:lineRule="auto"/>
        <w:ind w:hanging="877"/>
        <w:contextualSpacing w:val="0"/>
        <w:rPr>
          <w:rFonts w:ascii="Open Sans" w:hAnsi="Open Sans" w:cs="Open Sans"/>
          <w:sz w:val="22"/>
        </w:rPr>
      </w:pPr>
      <w:r w:rsidRPr="00074F4B">
        <w:rPr>
          <w:rFonts w:ascii="Open Sans" w:hAnsi="Open Sans" w:cs="Open Sans"/>
          <w:sz w:val="22"/>
        </w:rPr>
        <w:t>Z</w:t>
      </w:r>
      <w:r w:rsidR="0003768E" w:rsidRPr="00074F4B">
        <w:rPr>
          <w:rFonts w:ascii="Open Sans" w:hAnsi="Open Sans" w:cs="Open Sans"/>
          <w:sz w:val="22"/>
        </w:rPr>
        <w:t xml:space="preserve">adania </w:t>
      </w:r>
      <w:r w:rsidR="00BE36C3" w:rsidRPr="00074F4B">
        <w:rPr>
          <w:rFonts w:ascii="Open Sans" w:hAnsi="Open Sans" w:cs="Open Sans"/>
          <w:sz w:val="22"/>
        </w:rPr>
        <w:t xml:space="preserve">z przeprowadzoną </w:t>
      </w:r>
      <w:r w:rsidR="0003768E" w:rsidRPr="00074F4B">
        <w:rPr>
          <w:rFonts w:ascii="Open Sans" w:hAnsi="Open Sans" w:cs="Open Sans"/>
          <w:sz w:val="22"/>
        </w:rPr>
        <w:t>ocen</w:t>
      </w:r>
      <w:r w:rsidR="00BE36C3" w:rsidRPr="00074F4B">
        <w:rPr>
          <w:rFonts w:ascii="Open Sans" w:hAnsi="Open Sans" w:cs="Open Sans"/>
          <w:sz w:val="22"/>
        </w:rPr>
        <w:t>ą</w:t>
      </w:r>
      <w:r w:rsidR="0003768E" w:rsidRPr="00074F4B">
        <w:rPr>
          <w:rFonts w:ascii="Open Sans" w:hAnsi="Open Sans" w:cs="Open Sans"/>
          <w:sz w:val="22"/>
        </w:rPr>
        <w:t xml:space="preserve"> o</w:t>
      </w:r>
      <w:r w:rsidR="00BE36C3" w:rsidRPr="00074F4B">
        <w:rPr>
          <w:rFonts w:ascii="Open Sans" w:hAnsi="Open Sans" w:cs="Open Sans"/>
          <w:sz w:val="22"/>
        </w:rPr>
        <w:t>d</w:t>
      </w:r>
      <w:r w:rsidR="0003768E" w:rsidRPr="00074F4B">
        <w:rPr>
          <w:rFonts w:ascii="Open Sans" w:hAnsi="Open Sans" w:cs="Open Sans"/>
          <w:sz w:val="22"/>
        </w:rPr>
        <w:t>działywania na środowisko</w:t>
      </w:r>
    </w:p>
    <w:p w14:paraId="4019AA8F" w14:textId="692EFD7D" w:rsidR="00BE36C3" w:rsidRPr="00074F4B" w:rsidRDefault="00BF1B62" w:rsidP="00BC0C9B">
      <w:pPr>
        <w:pStyle w:val="Akapitzlist"/>
        <w:numPr>
          <w:ilvl w:val="3"/>
          <w:numId w:val="43"/>
        </w:numPr>
        <w:spacing w:before="120" w:after="120" w:line="288" w:lineRule="auto"/>
        <w:ind w:hanging="877"/>
        <w:contextualSpacing w:val="0"/>
        <w:rPr>
          <w:rFonts w:ascii="Open Sans" w:hAnsi="Open Sans" w:cs="Open Sans"/>
          <w:sz w:val="22"/>
        </w:rPr>
      </w:pPr>
      <w:r w:rsidRPr="00074F4B">
        <w:rPr>
          <w:rFonts w:ascii="Open Sans" w:hAnsi="Open Sans" w:cs="Open Sans"/>
          <w:sz w:val="22"/>
        </w:rPr>
        <w:t>Z</w:t>
      </w:r>
      <w:r w:rsidR="0003768E" w:rsidRPr="00074F4B">
        <w:rPr>
          <w:rFonts w:ascii="Open Sans" w:hAnsi="Open Sans" w:cs="Open Sans"/>
          <w:sz w:val="22"/>
        </w:rPr>
        <w:t xml:space="preserve">adania </w:t>
      </w:r>
      <w:r w:rsidR="00BE36C3" w:rsidRPr="00074F4B">
        <w:rPr>
          <w:rFonts w:ascii="Open Sans" w:hAnsi="Open Sans" w:cs="Open Sans"/>
          <w:sz w:val="22"/>
        </w:rPr>
        <w:t>bez oceny oddziaływania na środowisko</w:t>
      </w:r>
      <w:r w:rsidRPr="00074F4B">
        <w:rPr>
          <w:rFonts w:ascii="Open Sans" w:hAnsi="Open Sans" w:cs="Open Sans"/>
          <w:sz w:val="22"/>
        </w:rPr>
        <w:t xml:space="preserve"> wraz z</w:t>
      </w:r>
      <w:r w:rsidR="00E6344C">
        <w:rPr>
          <w:rFonts w:ascii="Open Sans" w:hAnsi="Open Sans" w:cs="Open Sans"/>
          <w:sz w:val="22"/>
        </w:rPr>
        <w:t> </w:t>
      </w:r>
      <w:r w:rsidRPr="00074F4B">
        <w:rPr>
          <w:rFonts w:ascii="Open Sans" w:hAnsi="Open Sans" w:cs="Open Sans"/>
          <w:sz w:val="22"/>
        </w:rPr>
        <w:t>uzasadnieniem braku kwalifikacji do oceny</w:t>
      </w:r>
    </w:p>
    <w:p w14:paraId="4019AA90" w14:textId="4ABF96AD" w:rsidR="004170C7" w:rsidRPr="00074F4B" w:rsidRDefault="002B5A4C" w:rsidP="00BC0C9B">
      <w:pPr>
        <w:pStyle w:val="Akapitzlist"/>
        <w:numPr>
          <w:ilvl w:val="2"/>
          <w:numId w:val="43"/>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Ocena wpływu przedsięwzięcia na obszary Natura 2000 wraz z prezentacją przeprowadzonych postępowań administracyjnych</w:t>
      </w:r>
    </w:p>
    <w:p w14:paraId="4019AA91" w14:textId="330444C3" w:rsidR="004170C7" w:rsidRPr="00074F4B" w:rsidRDefault="00BE36C3" w:rsidP="00BC0C9B">
      <w:pPr>
        <w:pStyle w:val="Akapitzlist"/>
        <w:numPr>
          <w:ilvl w:val="2"/>
          <w:numId w:val="43"/>
        </w:numPr>
        <w:spacing w:before="120" w:after="120" w:line="288" w:lineRule="auto"/>
        <w:ind w:left="1134" w:hanging="567"/>
        <w:contextualSpacing w:val="0"/>
        <w:rPr>
          <w:rFonts w:ascii="Open Sans" w:hAnsi="Open Sans" w:cs="Open Sans"/>
          <w:sz w:val="22"/>
        </w:rPr>
      </w:pPr>
      <w:r w:rsidRPr="00074F4B">
        <w:rPr>
          <w:rFonts w:ascii="Open Sans" w:eastAsia="Arial" w:hAnsi="Open Sans" w:cs="Open Sans"/>
          <w:sz w:val="22"/>
        </w:rPr>
        <w:t>Rozwiązania na rzecz zmniejszenia lub skompensowania negatywnego oddziaływania na środowisko</w:t>
      </w:r>
    </w:p>
    <w:p w14:paraId="4019AA93" w14:textId="0B48633E" w:rsidR="00BE36C3" w:rsidRPr="00074F4B" w:rsidRDefault="002B5A4C" w:rsidP="00BC0C9B">
      <w:pPr>
        <w:pStyle w:val="Akapitzlist"/>
        <w:numPr>
          <w:ilvl w:val="1"/>
          <w:numId w:val="43"/>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Spójność przedsięwzięcia z sektorowymi planami i programami związanymi z</w:t>
      </w:r>
      <w:r w:rsidR="00E6344C">
        <w:rPr>
          <w:rFonts w:ascii="Open Sans" w:hAnsi="Open Sans" w:cs="Open Sans"/>
          <w:sz w:val="22"/>
        </w:rPr>
        <w:t> </w:t>
      </w:r>
      <w:r w:rsidR="00126E67" w:rsidRPr="00074F4B">
        <w:rPr>
          <w:rFonts w:ascii="Open Sans" w:hAnsi="Open Sans" w:cs="Open Sans"/>
          <w:sz w:val="22"/>
        </w:rPr>
        <w:t>wdrożeniem</w:t>
      </w:r>
      <w:r w:rsidRPr="00074F4B">
        <w:rPr>
          <w:rFonts w:ascii="Open Sans" w:hAnsi="Open Sans" w:cs="Open Sans"/>
          <w:sz w:val="22"/>
        </w:rPr>
        <w:t xml:space="preserve"> polityki wspólnotowej</w:t>
      </w:r>
    </w:p>
    <w:p w14:paraId="0258D303" w14:textId="16E77B2E" w:rsidR="00653625" w:rsidRPr="00074F4B" w:rsidRDefault="00BE36C3" w:rsidP="00BC0C9B">
      <w:pPr>
        <w:pStyle w:val="Akapitzlist"/>
        <w:numPr>
          <w:ilvl w:val="2"/>
          <w:numId w:val="43"/>
        </w:numPr>
        <w:spacing w:before="120" w:after="120" w:line="288" w:lineRule="auto"/>
        <w:ind w:left="1134" w:hanging="567"/>
        <w:contextualSpacing w:val="0"/>
        <w:rPr>
          <w:rFonts w:ascii="Open Sans" w:hAnsi="Open Sans" w:cs="Open Sans"/>
          <w:color w:val="auto"/>
          <w:sz w:val="22"/>
        </w:rPr>
      </w:pPr>
      <w:r w:rsidRPr="00074F4B">
        <w:rPr>
          <w:rFonts w:ascii="Open Sans" w:hAnsi="Open Sans" w:cs="Open Sans"/>
          <w:color w:val="auto"/>
          <w:sz w:val="22"/>
        </w:rPr>
        <w:t>Wpływ przedsięwzięcia na jednolit</w:t>
      </w:r>
      <w:r w:rsidR="003665AB" w:rsidRPr="00074F4B">
        <w:rPr>
          <w:rFonts w:ascii="Open Sans" w:hAnsi="Open Sans" w:cs="Open Sans"/>
          <w:color w:val="auto"/>
          <w:sz w:val="22"/>
        </w:rPr>
        <w:t>ą</w:t>
      </w:r>
      <w:r w:rsidRPr="00074F4B">
        <w:rPr>
          <w:rFonts w:ascii="Open Sans" w:hAnsi="Open Sans" w:cs="Open Sans"/>
          <w:color w:val="auto"/>
          <w:sz w:val="22"/>
        </w:rPr>
        <w:t xml:space="preserve"> część wód</w:t>
      </w:r>
    </w:p>
    <w:p w14:paraId="595860C4" w14:textId="73228384" w:rsidR="00653625" w:rsidRPr="00074F4B" w:rsidRDefault="00653625" w:rsidP="00BC0C9B">
      <w:pPr>
        <w:pStyle w:val="Akapitzlist"/>
        <w:numPr>
          <w:ilvl w:val="2"/>
          <w:numId w:val="43"/>
        </w:numPr>
        <w:spacing w:before="120" w:after="120" w:line="288" w:lineRule="auto"/>
        <w:ind w:left="1134" w:hanging="567"/>
        <w:contextualSpacing w:val="0"/>
        <w:rPr>
          <w:rFonts w:ascii="Open Sans" w:hAnsi="Open Sans" w:cs="Open Sans"/>
          <w:color w:val="auto"/>
          <w:sz w:val="22"/>
        </w:rPr>
      </w:pPr>
      <w:r w:rsidRPr="00074F4B">
        <w:rPr>
          <w:rFonts w:ascii="Open Sans" w:hAnsi="Open Sans" w:cs="Open Sans"/>
          <w:color w:val="auto"/>
          <w:sz w:val="22"/>
        </w:rPr>
        <w:t>Zgodność przedsięwzięcia z obowiązującymi dokumentami planistycznymi wynikającymi z Ramowej Dyrektywy Wodnej i Dyrektywy Przeciwpowodziowej: planami gospodarowania wodami w dorzeczach, planami zarządzania ryzykiem powodziowym</w:t>
      </w:r>
      <w:r w:rsidR="008B3C82" w:rsidRPr="00074F4B">
        <w:rPr>
          <w:rFonts w:ascii="Open Sans" w:hAnsi="Open Sans" w:cs="Open Sans"/>
          <w:color w:val="auto"/>
          <w:sz w:val="22"/>
        </w:rPr>
        <w:t xml:space="preserve"> oraz</w:t>
      </w:r>
      <w:r w:rsidRPr="00074F4B">
        <w:rPr>
          <w:rFonts w:ascii="Open Sans" w:hAnsi="Open Sans" w:cs="Open Sans"/>
          <w:color w:val="auto"/>
          <w:sz w:val="22"/>
        </w:rPr>
        <w:t xml:space="preserve"> Planem przeciwdziałania skutkom suszy</w:t>
      </w:r>
      <w:r w:rsidR="008B3C82" w:rsidRPr="00074F4B">
        <w:rPr>
          <w:rFonts w:ascii="Open Sans" w:hAnsi="Open Sans" w:cs="Open Sans"/>
          <w:color w:val="auto"/>
          <w:sz w:val="22"/>
        </w:rPr>
        <w:t xml:space="preserve"> oraz inne (jeśli dotyczy)</w:t>
      </w:r>
    </w:p>
    <w:p w14:paraId="3DAB4354" w14:textId="66D954BD" w:rsidR="009F333E" w:rsidRPr="00074F4B" w:rsidRDefault="00BE36C3" w:rsidP="00BC0C9B">
      <w:pPr>
        <w:pStyle w:val="Akapitzlist"/>
        <w:numPr>
          <w:ilvl w:val="1"/>
          <w:numId w:val="43"/>
        </w:numPr>
        <w:spacing w:before="120" w:after="120" w:line="288" w:lineRule="auto"/>
        <w:ind w:left="567" w:hanging="567"/>
        <w:contextualSpacing w:val="0"/>
        <w:mirrorIndents/>
        <w:rPr>
          <w:rFonts w:ascii="Open Sans" w:hAnsi="Open Sans" w:cs="Open Sans"/>
          <w:vanish/>
          <w:sz w:val="22"/>
        </w:rPr>
      </w:pPr>
      <w:r w:rsidRPr="00074F4B">
        <w:rPr>
          <w:rFonts w:ascii="Open Sans" w:hAnsi="Open Sans" w:cs="Open Sans"/>
          <w:sz w:val="22"/>
        </w:rPr>
        <w:t>Przystosowanie do zmian klimatu i łagodzenie zmiany klimatu, a także odporność na klęski żywiołowe</w:t>
      </w:r>
    </w:p>
    <w:p w14:paraId="53B4DFF3" w14:textId="77777777" w:rsidR="00437501" w:rsidRDefault="00437501" w:rsidP="00BC0C9B">
      <w:pPr>
        <w:pStyle w:val="Akapitzlist"/>
        <w:numPr>
          <w:ilvl w:val="2"/>
          <w:numId w:val="43"/>
        </w:numPr>
        <w:spacing w:before="120" w:after="120" w:line="288" w:lineRule="auto"/>
        <w:ind w:left="1134" w:hanging="567"/>
        <w:contextualSpacing w:val="0"/>
        <w:rPr>
          <w:rFonts w:ascii="Open Sans" w:hAnsi="Open Sans" w:cs="Open Sans"/>
          <w:sz w:val="22"/>
        </w:rPr>
      </w:pPr>
    </w:p>
    <w:p w14:paraId="4019AA96" w14:textId="34704FDF" w:rsidR="00BE36C3" w:rsidRPr="00074F4B" w:rsidRDefault="00653625" w:rsidP="00BC0C9B">
      <w:pPr>
        <w:pStyle w:val="Akapitzlist"/>
        <w:numPr>
          <w:ilvl w:val="2"/>
          <w:numId w:val="51"/>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Oddziaływanie projektu na zmian</w:t>
      </w:r>
      <w:r w:rsidR="003A2EF7" w:rsidRPr="00074F4B">
        <w:rPr>
          <w:rFonts w:ascii="Open Sans" w:hAnsi="Open Sans" w:cs="Open Sans"/>
          <w:sz w:val="22"/>
        </w:rPr>
        <w:t>y</w:t>
      </w:r>
      <w:r w:rsidRPr="00074F4B">
        <w:rPr>
          <w:rFonts w:ascii="Open Sans" w:hAnsi="Open Sans" w:cs="Open Sans"/>
          <w:sz w:val="22"/>
        </w:rPr>
        <w:t xml:space="preserve"> klimatu z uwzględnieniem środków łagodzących w celu przystosowania się do zmian klimatu</w:t>
      </w:r>
    </w:p>
    <w:p w14:paraId="4019AA97" w14:textId="731409C0" w:rsidR="00BE36C3" w:rsidRPr="00074F4B" w:rsidRDefault="00653625" w:rsidP="00BC0C9B">
      <w:pPr>
        <w:pStyle w:val="Akapitzlist"/>
        <w:numPr>
          <w:ilvl w:val="2"/>
          <w:numId w:val="51"/>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Oddziaływanie zmian klimatu na projekt z uwzględnieniem środków mających na celu adaptację projektu do zmian klimatu, w tym reagowania na ryzyko powodziowe</w:t>
      </w:r>
    </w:p>
    <w:p w14:paraId="4019AA98" w14:textId="62C70ED9" w:rsidR="00216695" w:rsidRPr="00074F4B" w:rsidRDefault="00653625" w:rsidP="00BC0C9B">
      <w:pPr>
        <w:pStyle w:val="Akapitzlist"/>
        <w:numPr>
          <w:ilvl w:val="2"/>
          <w:numId w:val="51"/>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Zgodność projektu z celem środowiskowym gospodarki o obiegu zamkniętym, ochrony przyrody oraz adaptacji do zmian klimatu</w:t>
      </w:r>
    </w:p>
    <w:p w14:paraId="4019AA99" w14:textId="09917DAB" w:rsidR="004170C7" w:rsidRPr="00074F4B" w:rsidRDefault="00592507" w:rsidP="00BC0C9B">
      <w:pPr>
        <w:pStyle w:val="Akapitzlist"/>
        <w:numPr>
          <w:ilvl w:val="1"/>
          <w:numId w:val="51"/>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S</w:t>
      </w:r>
      <w:r w:rsidR="002B5A4C" w:rsidRPr="00074F4B">
        <w:rPr>
          <w:rFonts w:ascii="Open Sans" w:hAnsi="Open Sans" w:cs="Open Sans"/>
          <w:sz w:val="22"/>
        </w:rPr>
        <w:t>trategiczne oceny oddziaływania na środowisko</w:t>
      </w:r>
    </w:p>
    <w:p w14:paraId="4019AA9A" w14:textId="2D8EACA3" w:rsidR="004170C7" w:rsidRPr="00074F4B" w:rsidRDefault="00A97DB9" w:rsidP="00BC0C9B">
      <w:pPr>
        <w:pStyle w:val="Akapitzlist"/>
        <w:numPr>
          <w:ilvl w:val="2"/>
          <w:numId w:val="51"/>
        </w:numPr>
        <w:spacing w:before="120" w:after="120" w:line="288" w:lineRule="auto"/>
        <w:ind w:left="1134" w:hanging="657"/>
        <w:contextualSpacing w:val="0"/>
        <w:rPr>
          <w:rFonts w:ascii="Open Sans" w:hAnsi="Open Sans" w:cs="Open Sans"/>
          <w:sz w:val="22"/>
        </w:rPr>
      </w:pPr>
      <w:r w:rsidRPr="00074F4B">
        <w:rPr>
          <w:rFonts w:ascii="Open Sans" w:eastAsia="Arial" w:hAnsi="Open Sans" w:cs="Open Sans"/>
          <w:sz w:val="22"/>
        </w:rPr>
        <w:t>Strategiczna</w:t>
      </w:r>
      <w:r w:rsidR="00F17F59" w:rsidRPr="00074F4B">
        <w:rPr>
          <w:rFonts w:ascii="Open Sans" w:eastAsia="Arial" w:hAnsi="Open Sans" w:cs="Open Sans"/>
          <w:sz w:val="22"/>
        </w:rPr>
        <w:t xml:space="preserve"> ocena </w:t>
      </w:r>
      <w:r w:rsidRPr="00074F4B">
        <w:rPr>
          <w:rFonts w:ascii="Open Sans" w:eastAsia="Arial" w:hAnsi="Open Sans" w:cs="Open Sans"/>
          <w:sz w:val="22"/>
        </w:rPr>
        <w:t>oddziaływania</w:t>
      </w:r>
      <w:r w:rsidR="00F17F59" w:rsidRPr="00074F4B">
        <w:rPr>
          <w:rFonts w:ascii="Open Sans" w:eastAsia="Arial" w:hAnsi="Open Sans" w:cs="Open Sans"/>
          <w:sz w:val="22"/>
        </w:rPr>
        <w:t xml:space="preserve"> na środowisko </w:t>
      </w:r>
      <w:r w:rsidRPr="00074F4B">
        <w:rPr>
          <w:rFonts w:ascii="Open Sans" w:hAnsi="Open Sans" w:cs="Open Sans"/>
          <w:sz w:val="22"/>
        </w:rPr>
        <w:t>(</w:t>
      </w:r>
      <w:proofErr w:type="gramStart"/>
      <w:r w:rsidRPr="00074F4B">
        <w:rPr>
          <w:rFonts w:ascii="Open Sans" w:hAnsi="Open Sans" w:cs="Open Sans"/>
          <w:sz w:val="22"/>
        </w:rPr>
        <w:t>zgodnie  z</w:t>
      </w:r>
      <w:proofErr w:type="gramEnd"/>
      <w:r w:rsidRPr="00074F4B">
        <w:rPr>
          <w:rFonts w:ascii="Open Sans" w:hAnsi="Open Sans" w:cs="Open Sans"/>
          <w:sz w:val="22"/>
        </w:rPr>
        <w:t xml:space="preserve"> Dyrektywą 2001/42/WE) </w:t>
      </w:r>
      <w:r w:rsidR="00F17F59" w:rsidRPr="00074F4B">
        <w:rPr>
          <w:rFonts w:ascii="Open Sans" w:hAnsi="Open Sans" w:cs="Open Sans"/>
          <w:sz w:val="22"/>
        </w:rPr>
        <w:t>p</w:t>
      </w:r>
      <w:r w:rsidR="002B5A4C" w:rsidRPr="00074F4B">
        <w:rPr>
          <w:rFonts w:ascii="Open Sans" w:hAnsi="Open Sans" w:cs="Open Sans"/>
          <w:sz w:val="22"/>
        </w:rPr>
        <w:t>lan</w:t>
      </w:r>
      <w:r w:rsidR="00F17F59" w:rsidRPr="00074F4B">
        <w:rPr>
          <w:rFonts w:ascii="Open Sans" w:hAnsi="Open Sans" w:cs="Open Sans"/>
          <w:sz w:val="22"/>
        </w:rPr>
        <w:t>ów</w:t>
      </w:r>
      <w:r w:rsidR="002B5A4C" w:rsidRPr="00074F4B">
        <w:rPr>
          <w:rFonts w:ascii="Open Sans" w:hAnsi="Open Sans" w:cs="Open Sans"/>
          <w:sz w:val="22"/>
        </w:rPr>
        <w:t xml:space="preserve"> i program</w:t>
      </w:r>
      <w:r w:rsidRPr="00074F4B">
        <w:rPr>
          <w:rFonts w:ascii="Open Sans" w:hAnsi="Open Sans" w:cs="Open Sans"/>
          <w:sz w:val="22"/>
        </w:rPr>
        <w:t>ów,</w:t>
      </w:r>
      <w:r w:rsidR="002B5A4C" w:rsidRPr="00074F4B">
        <w:rPr>
          <w:rFonts w:ascii="Open Sans" w:hAnsi="Open Sans" w:cs="Open Sans"/>
          <w:sz w:val="22"/>
        </w:rPr>
        <w:t xml:space="preserve"> z których wynika realizacja przedsięwzięcia</w:t>
      </w:r>
    </w:p>
    <w:p w14:paraId="4019AA9B" w14:textId="5581C6CD" w:rsidR="004170C7" w:rsidRPr="00074F4B" w:rsidRDefault="002B5A4C" w:rsidP="00BC0C9B">
      <w:pPr>
        <w:pStyle w:val="Akapitzlist"/>
        <w:numPr>
          <w:ilvl w:val="2"/>
          <w:numId w:val="51"/>
        </w:numPr>
        <w:spacing w:before="120" w:after="120" w:line="288" w:lineRule="auto"/>
        <w:ind w:left="1134" w:hanging="657"/>
        <w:contextualSpacing w:val="0"/>
        <w:rPr>
          <w:rFonts w:ascii="Open Sans" w:hAnsi="Open Sans" w:cs="Open Sans"/>
          <w:sz w:val="22"/>
        </w:rPr>
      </w:pPr>
      <w:r w:rsidRPr="00074F4B">
        <w:rPr>
          <w:rFonts w:ascii="Open Sans" w:hAnsi="Open Sans" w:cs="Open Sans"/>
          <w:sz w:val="22"/>
        </w:rPr>
        <w:t>Uwzględnienie skutków realizacji przedsięwzięcia w sporządzonych prognozach oddziaływania planów i programów na środowisko</w:t>
      </w:r>
    </w:p>
    <w:p w14:paraId="4019AA9D" w14:textId="77777777" w:rsidR="004170C7" w:rsidRPr="00074F4B" w:rsidRDefault="002B5A4C" w:rsidP="00BC0C9B">
      <w:pPr>
        <w:pStyle w:val="Nagwek1"/>
        <w:numPr>
          <w:ilvl w:val="0"/>
          <w:numId w:val="51"/>
        </w:numPr>
        <w:spacing w:line="288" w:lineRule="auto"/>
        <w:rPr>
          <w:rFonts w:ascii="Open Sans" w:hAnsi="Open Sans" w:cs="Open Sans"/>
          <w:sz w:val="22"/>
          <w:szCs w:val="22"/>
        </w:rPr>
      </w:pPr>
      <w:r w:rsidRPr="00074F4B">
        <w:rPr>
          <w:rFonts w:ascii="Open Sans" w:hAnsi="Open Sans" w:cs="Open Sans"/>
          <w:sz w:val="22"/>
          <w:szCs w:val="22"/>
        </w:rPr>
        <w:t xml:space="preserve">Plan </w:t>
      </w:r>
      <w:r w:rsidR="00126E67" w:rsidRPr="00074F4B">
        <w:rPr>
          <w:rFonts w:ascii="Open Sans" w:hAnsi="Open Sans" w:cs="Open Sans"/>
          <w:sz w:val="22"/>
          <w:szCs w:val="22"/>
        </w:rPr>
        <w:t>wdrożenia</w:t>
      </w:r>
      <w:r w:rsidRPr="00074F4B">
        <w:rPr>
          <w:rFonts w:ascii="Open Sans" w:hAnsi="Open Sans" w:cs="Open Sans"/>
          <w:sz w:val="22"/>
          <w:szCs w:val="22"/>
        </w:rPr>
        <w:t xml:space="preserve"> i funkcjonowania projektu  </w:t>
      </w:r>
    </w:p>
    <w:p w14:paraId="4019AA9E" w14:textId="6EB47B4A" w:rsidR="004170C7" w:rsidRPr="00074F4B" w:rsidRDefault="002B5A4C"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 xml:space="preserve">Struktura </w:t>
      </w:r>
      <w:r w:rsidR="00126E67" w:rsidRPr="00074F4B">
        <w:rPr>
          <w:rFonts w:ascii="Open Sans" w:hAnsi="Open Sans" w:cs="Open Sans"/>
          <w:sz w:val="22"/>
        </w:rPr>
        <w:t>wdrażania</w:t>
      </w:r>
      <w:r w:rsidRPr="00074F4B">
        <w:rPr>
          <w:rFonts w:ascii="Open Sans" w:hAnsi="Open Sans" w:cs="Open Sans"/>
          <w:sz w:val="22"/>
        </w:rPr>
        <w:t xml:space="preserve"> przedsięwzięcia, </w:t>
      </w:r>
      <w:r w:rsidR="00355207" w:rsidRPr="00074F4B">
        <w:rPr>
          <w:rFonts w:ascii="Open Sans" w:hAnsi="Open Sans" w:cs="Open Sans"/>
          <w:sz w:val="22"/>
        </w:rPr>
        <w:t xml:space="preserve">stan zaawansowania realizacji, </w:t>
      </w:r>
      <w:r w:rsidRPr="00074F4B">
        <w:rPr>
          <w:rFonts w:ascii="Open Sans" w:hAnsi="Open Sans" w:cs="Open Sans"/>
          <w:sz w:val="22"/>
        </w:rPr>
        <w:t>zestawienie i harmonogram niezbędnych działań, w tym instytucjonalnych i</w:t>
      </w:r>
      <w:r w:rsidR="00437501">
        <w:rPr>
          <w:rFonts w:ascii="Open Sans" w:hAnsi="Open Sans" w:cs="Open Sans"/>
          <w:sz w:val="22"/>
        </w:rPr>
        <w:t> </w:t>
      </w:r>
      <w:r w:rsidRPr="00074F4B">
        <w:rPr>
          <w:rFonts w:ascii="Open Sans" w:hAnsi="Open Sans" w:cs="Open Sans"/>
          <w:sz w:val="22"/>
        </w:rPr>
        <w:t>administracyjnych</w:t>
      </w:r>
      <w:r w:rsidR="00706251" w:rsidRPr="00074F4B">
        <w:rPr>
          <w:rFonts w:ascii="Open Sans" w:hAnsi="Open Sans" w:cs="Open Sans"/>
          <w:sz w:val="22"/>
        </w:rPr>
        <w:t>,</w:t>
      </w:r>
      <w:r w:rsidRPr="00074F4B">
        <w:rPr>
          <w:rFonts w:ascii="Open Sans" w:hAnsi="Open Sans" w:cs="Open Sans"/>
          <w:sz w:val="22"/>
        </w:rPr>
        <w:t xml:space="preserve"> w celu </w:t>
      </w:r>
      <w:r w:rsidR="00126E67" w:rsidRPr="00074F4B">
        <w:rPr>
          <w:rFonts w:ascii="Open Sans" w:hAnsi="Open Sans" w:cs="Open Sans"/>
          <w:sz w:val="22"/>
        </w:rPr>
        <w:t>wdrożenia</w:t>
      </w:r>
      <w:r w:rsidRPr="00074F4B">
        <w:rPr>
          <w:rFonts w:ascii="Open Sans" w:hAnsi="Open Sans" w:cs="Open Sans"/>
          <w:sz w:val="22"/>
        </w:rPr>
        <w:t xml:space="preserve"> przedsięwzięcia </w:t>
      </w:r>
    </w:p>
    <w:p w14:paraId="4019AA9F" w14:textId="159B58E6" w:rsidR="004170C7" w:rsidRPr="00074F4B" w:rsidRDefault="002B5A4C"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 xml:space="preserve">Struktura </w:t>
      </w:r>
      <w:r w:rsidR="00A97DB9" w:rsidRPr="00074F4B">
        <w:rPr>
          <w:rFonts w:ascii="Open Sans" w:hAnsi="Open Sans" w:cs="Open Sans"/>
          <w:sz w:val="22"/>
        </w:rPr>
        <w:t xml:space="preserve">i schemat </w:t>
      </w:r>
      <w:r w:rsidRPr="00074F4B">
        <w:rPr>
          <w:rFonts w:ascii="Open Sans" w:hAnsi="Open Sans" w:cs="Open Sans"/>
          <w:sz w:val="22"/>
        </w:rPr>
        <w:t>organizacyjn</w:t>
      </w:r>
      <w:r w:rsidR="00A97DB9" w:rsidRPr="00074F4B">
        <w:rPr>
          <w:rFonts w:ascii="Open Sans" w:hAnsi="Open Sans" w:cs="Open Sans"/>
          <w:sz w:val="22"/>
        </w:rPr>
        <w:t>y</w:t>
      </w:r>
      <w:r w:rsidRPr="00074F4B">
        <w:rPr>
          <w:rFonts w:ascii="Open Sans" w:hAnsi="Open Sans" w:cs="Open Sans"/>
          <w:sz w:val="22"/>
        </w:rPr>
        <w:t xml:space="preserve"> </w:t>
      </w:r>
      <w:r w:rsidR="007B1FDE" w:rsidRPr="00074F4B">
        <w:rPr>
          <w:rFonts w:ascii="Open Sans" w:hAnsi="Open Sans" w:cs="Open Sans"/>
          <w:sz w:val="22"/>
        </w:rPr>
        <w:t xml:space="preserve">jednostki realizującej projekt </w:t>
      </w:r>
    </w:p>
    <w:p w14:paraId="4019AAA0" w14:textId="610B2931" w:rsidR="004170C7" w:rsidRPr="00074F4B" w:rsidRDefault="002B5A4C"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 xml:space="preserve">Proponowany zakres kontraktów, procedury kontraktowe, harmonogram ogłaszania przetargów i podpisywania kontraktów </w:t>
      </w:r>
      <w:r w:rsidR="008B3C82" w:rsidRPr="00074F4B">
        <w:rPr>
          <w:rFonts w:ascii="Open Sans" w:hAnsi="Open Sans" w:cs="Open Sans"/>
          <w:sz w:val="22"/>
        </w:rPr>
        <w:t>(zestawienie postępowań)</w:t>
      </w:r>
    </w:p>
    <w:p w14:paraId="4019AAA1" w14:textId="3B464152" w:rsidR="004170C7" w:rsidRPr="00074F4B" w:rsidRDefault="002B5A4C"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 xml:space="preserve">Harmonogram realizacji przedsięwzięcia </w:t>
      </w:r>
      <w:r w:rsidR="00790DF7" w:rsidRPr="00074F4B">
        <w:rPr>
          <w:rFonts w:ascii="Open Sans" w:hAnsi="Open Sans" w:cs="Open Sans"/>
          <w:sz w:val="22"/>
        </w:rPr>
        <w:t>oraz plan płatności</w:t>
      </w:r>
    </w:p>
    <w:p w14:paraId="4019AAA2" w14:textId="26BFC54F" w:rsidR="00A97DB9" w:rsidRPr="00074F4B" w:rsidRDefault="00A97DB9"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Zarządzanie infrastrukturą po zakończeniu realizacji przedsięwzięcia</w:t>
      </w:r>
    </w:p>
    <w:p w14:paraId="4019AAA3" w14:textId="52103EA7" w:rsidR="004170C7" w:rsidRPr="00074F4B" w:rsidRDefault="002B5A4C" w:rsidP="00BC0C9B">
      <w:pPr>
        <w:pStyle w:val="Akapitzlist"/>
        <w:numPr>
          <w:ilvl w:val="2"/>
          <w:numId w:val="52"/>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 xml:space="preserve">Opis struktury organizacyjnej i własnościowej po zakończeniu realizacji przedsięwzięcia </w:t>
      </w:r>
    </w:p>
    <w:p w14:paraId="4019AAA5" w14:textId="52424D6C" w:rsidR="00A97DB9" w:rsidRPr="00074F4B" w:rsidRDefault="00A97DB9" w:rsidP="00BC0C9B">
      <w:pPr>
        <w:pStyle w:val="Akapitzlist"/>
        <w:numPr>
          <w:ilvl w:val="2"/>
          <w:numId w:val="52"/>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Zachowanie trwałości projektu</w:t>
      </w:r>
    </w:p>
    <w:p w14:paraId="4019AAA6" w14:textId="77777777" w:rsidR="004170C7" w:rsidRPr="00074F4B" w:rsidRDefault="002B5A4C" w:rsidP="00BC0C9B">
      <w:pPr>
        <w:pStyle w:val="Nagwek1"/>
        <w:numPr>
          <w:ilvl w:val="0"/>
          <w:numId w:val="52"/>
        </w:numPr>
        <w:spacing w:line="288" w:lineRule="auto"/>
        <w:rPr>
          <w:rFonts w:ascii="Open Sans" w:hAnsi="Open Sans" w:cs="Open Sans"/>
          <w:sz w:val="22"/>
          <w:szCs w:val="22"/>
        </w:rPr>
      </w:pPr>
      <w:r w:rsidRPr="00074F4B">
        <w:rPr>
          <w:rFonts w:ascii="Open Sans" w:hAnsi="Open Sans" w:cs="Open Sans"/>
          <w:sz w:val="22"/>
          <w:szCs w:val="22"/>
        </w:rPr>
        <w:t xml:space="preserve">Plan finansowania przedsięwzięcia </w:t>
      </w:r>
    </w:p>
    <w:p w14:paraId="4019AAA7" w14:textId="48EFE0CA" w:rsidR="00176EBB" w:rsidRPr="00074F4B" w:rsidRDefault="00176EBB"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Struktura i źródła finansowania kosztów kwalifikowanych i niekwalifikowanych przedsięwzięcia z podziałem na lata realizacji inwestycji</w:t>
      </w:r>
    </w:p>
    <w:p w14:paraId="4019AAA8" w14:textId="035FFBA5" w:rsidR="00176EBB" w:rsidRPr="00074F4B" w:rsidRDefault="00176EBB"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 xml:space="preserve">Ocena zdolności beneficjenta i </w:t>
      </w:r>
      <w:r w:rsidR="00004B55" w:rsidRPr="00074F4B">
        <w:rPr>
          <w:rFonts w:ascii="Open Sans" w:hAnsi="Open Sans" w:cs="Open Sans"/>
          <w:sz w:val="22"/>
        </w:rPr>
        <w:t xml:space="preserve">podmiotów upoważnionych do ponoszenia wydatków kwalifikowanych </w:t>
      </w:r>
      <w:r w:rsidRPr="00074F4B">
        <w:rPr>
          <w:rFonts w:ascii="Open Sans" w:hAnsi="Open Sans" w:cs="Open Sans"/>
          <w:sz w:val="22"/>
        </w:rPr>
        <w:t>(</w:t>
      </w:r>
      <w:r w:rsidRPr="00074F4B">
        <w:rPr>
          <w:rFonts w:ascii="Open Sans" w:hAnsi="Open Sans" w:cs="Open Sans"/>
          <w:i/>
          <w:sz w:val="22"/>
        </w:rPr>
        <w:t>o ile dotyczy)</w:t>
      </w:r>
      <w:r w:rsidRPr="00074F4B">
        <w:rPr>
          <w:rFonts w:ascii="Open Sans" w:hAnsi="Open Sans" w:cs="Open Sans"/>
          <w:sz w:val="22"/>
        </w:rPr>
        <w:t xml:space="preserve"> do zapewnienia wkładu własnego </w:t>
      </w:r>
    </w:p>
    <w:p w14:paraId="4019AAA9" w14:textId="01EB48A2" w:rsidR="00176EBB" w:rsidRPr="00074F4B" w:rsidRDefault="00176EBB"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Przewidywane sposoby i ocena realności ustanowienia zabezpieczeń dla zwrotnych źródeł finansowania inwestycji (z uwzględnieniem wyników analizy ryzyka)</w:t>
      </w:r>
    </w:p>
    <w:p w14:paraId="4019AAAA" w14:textId="6296D1DF" w:rsidR="004170C7" w:rsidRPr="00074F4B" w:rsidRDefault="00810AA3" w:rsidP="00BC0C9B">
      <w:pPr>
        <w:pStyle w:val="Nagwek1"/>
        <w:numPr>
          <w:ilvl w:val="0"/>
          <w:numId w:val="52"/>
        </w:numPr>
        <w:spacing w:line="288" w:lineRule="auto"/>
        <w:rPr>
          <w:rFonts w:ascii="Open Sans" w:hAnsi="Open Sans" w:cs="Open Sans"/>
          <w:sz w:val="22"/>
          <w:szCs w:val="22"/>
        </w:rPr>
      </w:pPr>
      <w:r w:rsidRPr="00074F4B">
        <w:rPr>
          <w:rFonts w:ascii="Open Sans" w:hAnsi="Open Sans" w:cs="Open Sans"/>
          <w:sz w:val="22"/>
          <w:szCs w:val="22"/>
        </w:rPr>
        <w:t>A</w:t>
      </w:r>
      <w:r w:rsidR="002B5A4C" w:rsidRPr="00074F4B">
        <w:rPr>
          <w:rFonts w:ascii="Open Sans" w:hAnsi="Open Sans" w:cs="Open Sans"/>
          <w:sz w:val="22"/>
          <w:szCs w:val="22"/>
        </w:rPr>
        <w:t xml:space="preserve">naliza finansowa </w:t>
      </w:r>
      <w:r w:rsidR="00176EBB" w:rsidRPr="00074F4B">
        <w:rPr>
          <w:rFonts w:ascii="Open Sans" w:hAnsi="Open Sans" w:cs="Open Sans"/>
          <w:sz w:val="22"/>
          <w:szCs w:val="22"/>
        </w:rPr>
        <w:t>i analiza trwałości</w:t>
      </w:r>
    </w:p>
    <w:p w14:paraId="5BCD0773" w14:textId="77777777" w:rsidR="004A04AD" w:rsidRPr="00074F4B" w:rsidRDefault="00176EBB"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Założenia makroekonomiczne, metodyka analizy finansowej i analizy trwałości</w:t>
      </w:r>
    </w:p>
    <w:p w14:paraId="4019AAAC" w14:textId="54E3C551" w:rsidR="00176EBB" w:rsidRPr="00074F4B" w:rsidRDefault="00176EBB"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Prognoza przychodów i kosztów w okresie odniesienia dla scenariusza bez projektu</w:t>
      </w:r>
      <w:r w:rsidR="00002611" w:rsidRPr="00074F4B">
        <w:rPr>
          <w:rFonts w:ascii="Open Sans" w:hAnsi="Open Sans" w:cs="Open Sans"/>
          <w:sz w:val="22"/>
        </w:rPr>
        <w:t xml:space="preserve"> </w:t>
      </w:r>
      <w:r w:rsidRPr="00074F4B">
        <w:rPr>
          <w:rFonts w:ascii="Open Sans" w:hAnsi="Open Sans" w:cs="Open Sans"/>
          <w:sz w:val="22"/>
        </w:rPr>
        <w:t xml:space="preserve">i scenariusza z projektem </w:t>
      </w:r>
    </w:p>
    <w:p w14:paraId="4019AAAD" w14:textId="66E0CE58" w:rsidR="00176EBB" w:rsidRPr="00074F4B" w:rsidRDefault="00176EBB" w:rsidP="00BC0C9B">
      <w:pPr>
        <w:pStyle w:val="Akapitzlist"/>
        <w:numPr>
          <w:ilvl w:val="2"/>
          <w:numId w:val="52"/>
        </w:numPr>
        <w:spacing w:before="120" w:after="120" w:line="288" w:lineRule="auto"/>
        <w:ind w:left="1276" w:hanging="709"/>
        <w:contextualSpacing w:val="0"/>
        <w:rPr>
          <w:rFonts w:ascii="Open Sans" w:hAnsi="Open Sans" w:cs="Open Sans"/>
          <w:sz w:val="22"/>
        </w:rPr>
      </w:pPr>
      <w:r w:rsidRPr="00074F4B">
        <w:rPr>
          <w:rFonts w:ascii="Open Sans" w:eastAsia="Arial" w:hAnsi="Open Sans" w:cs="Open Sans"/>
          <w:sz w:val="22"/>
        </w:rPr>
        <w:t xml:space="preserve">Założenia i </w:t>
      </w:r>
      <w:r w:rsidRPr="00074F4B">
        <w:rPr>
          <w:rFonts w:ascii="Open Sans" w:hAnsi="Open Sans" w:cs="Open Sans"/>
          <w:sz w:val="22"/>
        </w:rPr>
        <w:t>prognozy kosztów operacyjnych (wg ich rodzajów) oraz pozostałych przychodów i kosztów operacyjnych</w:t>
      </w:r>
    </w:p>
    <w:p w14:paraId="4019AAAE" w14:textId="4886F91C" w:rsidR="00176EBB" w:rsidRPr="00074F4B" w:rsidRDefault="00176EBB" w:rsidP="00BC0C9B">
      <w:pPr>
        <w:pStyle w:val="Akapitzlist"/>
        <w:numPr>
          <w:ilvl w:val="2"/>
          <w:numId w:val="52"/>
        </w:numPr>
        <w:spacing w:before="120" w:after="120" w:line="288" w:lineRule="auto"/>
        <w:ind w:left="1276" w:hanging="709"/>
        <w:contextualSpacing w:val="0"/>
        <w:rPr>
          <w:rFonts w:ascii="Open Sans" w:hAnsi="Open Sans" w:cs="Open Sans"/>
          <w:sz w:val="22"/>
        </w:rPr>
      </w:pPr>
      <w:r w:rsidRPr="00074F4B">
        <w:rPr>
          <w:rFonts w:ascii="Open Sans" w:hAnsi="Open Sans" w:cs="Open Sans"/>
          <w:sz w:val="22"/>
        </w:rPr>
        <w:t xml:space="preserve">Prognoza przychodów, w tym strategia cenowa </w:t>
      </w:r>
    </w:p>
    <w:p w14:paraId="4019AAAF" w14:textId="3FF180AE" w:rsidR="00176EBB" w:rsidRPr="00074F4B" w:rsidRDefault="00176EBB" w:rsidP="00BC0C9B">
      <w:pPr>
        <w:pStyle w:val="Akapitzlist"/>
        <w:numPr>
          <w:ilvl w:val="2"/>
          <w:numId w:val="52"/>
        </w:numPr>
        <w:spacing w:before="120" w:after="120" w:line="288" w:lineRule="auto"/>
        <w:ind w:left="1276" w:hanging="709"/>
        <w:contextualSpacing w:val="0"/>
        <w:rPr>
          <w:rFonts w:ascii="Open Sans" w:hAnsi="Open Sans" w:cs="Open Sans"/>
          <w:sz w:val="22"/>
        </w:rPr>
      </w:pPr>
      <w:r w:rsidRPr="00074F4B">
        <w:rPr>
          <w:rFonts w:ascii="Open Sans" w:hAnsi="Open Sans" w:cs="Open Sans"/>
          <w:sz w:val="22"/>
        </w:rPr>
        <w:t xml:space="preserve">Zapotrzebowanie na kapitał obrotowy </w:t>
      </w:r>
    </w:p>
    <w:p w14:paraId="4019AAB0" w14:textId="24E7D8FB" w:rsidR="00176EBB" w:rsidRPr="00074F4B" w:rsidRDefault="00176EBB" w:rsidP="00BC0C9B">
      <w:pPr>
        <w:pStyle w:val="Akapitzlist"/>
        <w:numPr>
          <w:ilvl w:val="2"/>
          <w:numId w:val="52"/>
        </w:numPr>
        <w:spacing w:before="120" w:after="120" w:line="288" w:lineRule="auto"/>
        <w:ind w:left="1276" w:hanging="709"/>
        <w:contextualSpacing w:val="0"/>
        <w:rPr>
          <w:rFonts w:ascii="Open Sans" w:hAnsi="Open Sans" w:cs="Open Sans"/>
          <w:sz w:val="22"/>
        </w:rPr>
      </w:pPr>
      <w:r w:rsidRPr="00074F4B">
        <w:rPr>
          <w:rFonts w:ascii="Open Sans" w:eastAsia="Arial" w:hAnsi="Open Sans" w:cs="Open Sans"/>
          <w:sz w:val="22"/>
        </w:rPr>
        <w:t xml:space="preserve">Prefinansowanie wydatków związanych z projektem </w:t>
      </w:r>
      <w:r w:rsidR="00DF0005" w:rsidRPr="00074F4B">
        <w:rPr>
          <w:rFonts w:ascii="Open Sans" w:eastAsia="Arial" w:hAnsi="Open Sans" w:cs="Open Sans"/>
          <w:sz w:val="22"/>
        </w:rPr>
        <w:t>(jeśli dotyczy)</w:t>
      </w:r>
    </w:p>
    <w:p w14:paraId="4019AAB1" w14:textId="6561F419" w:rsidR="00176EBB" w:rsidRPr="00074F4B" w:rsidRDefault="00176EBB" w:rsidP="00BC0C9B">
      <w:pPr>
        <w:pStyle w:val="Akapitzlist"/>
        <w:numPr>
          <w:ilvl w:val="1"/>
          <w:numId w:val="52"/>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Założenia analizy finansowej i analizy finansowej efektywności przedsięwzięcia</w:t>
      </w:r>
    </w:p>
    <w:p w14:paraId="5CC0F6A0" w14:textId="14718724" w:rsidR="005256E4" w:rsidRPr="00074F4B" w:rsidRDefault="005256E4" w:rsidP="00BC0C9B">
      <w:pPr>
        <w:pStyle w:val="Akapitzlist"/>
        <w:numPr>
          <w:ilvl w:val="2"/>
          <w:numId w:val="52"/>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Identyfikacja czy projekt generuje dochód</w:t>
      </w:r>
    </w:p>
    <w:p w14:paraId="4FA34304" w14:textId="543D4F57" w:rsidR="00A056EA" w:rsidRPr="00074F4B" w:rsidRDefault="00A056EA" w:rsidP="00BC0C9B">
      <w:pPr>
        <w:pStyle w:val="Akapitzlist"/>
        <w:numPr>
          <w:ilvl w:val="1"/>
          <w:numId w:val="52"/>
        </w:numPr>
        <w:spacing w:before="120" w:after="120" w:line="288" w:lineRule="auto"/>
        <w:ind w:left="567" w:hanging="567"/>
        <w:contextualSpacing w:val="0"/>
        <w:mirrorIndents/>
        <w:rPr>
          <w:rFonts w:ascii="Open Sans" w:hAnsi="Open Sans" w:cs="Open Sans"/>
          <w:color w:val="auto"/>
          <w:sz w:val="22"/>
        </w:rPr>
      </w:pPr>
      <w:r w:rsidRPr="00074F4B">
        <w:rPr>
          <w:rFonts w:ascii="Open Sans" w:hAnsi="Open Sans" w:cs="Open Sans"/>
          <w:color w:val="auto"/>
          <w:sz w:val="22"/>
        </w:rPr>
        <w:t>Obliczenie maksymalnego wkładu funduszy UE zgodnie z intensywnością dofinansowania dopuszczoną w Programie Fundusze Europejskie na</w:t>
      </w:r>
      <w:r w:rsidR="004A04AD" w:rsidRPr="00074F4B">
        <w:rPr>
          <w:rFonts w:ascii="Open Sans" w:hAnsi="Open Sans" w:cs="Open Sans"/>
          <w:color w:val="auto"/>
          <w:sz w:val="22"/>
        </w:rPr>
        <w:t xml:space="preserve"> </w:t>
      </w:r>
      <w:r w:rsidRPr="00074F4B">
        <w:rPr>
          <w:rFonts w:ascii="Open Sans" w:hAnsi="Open Sans" w:cs="Open Sans"/>
          <w:color w:val="auto"/>
          <w:sz w:val="22"/>
        </w:rPr>
        <w:t xml:space="preserve">Infrastrukturę, Klimat, Środowisko 2021-2027 działanie FENX.02.05 </w:t>
      </w:r>
    </w:p>
    <w:p w14:paraId="4019AAB5" w14:textId="60F31774" w:rsidR="00176EBB" w:rsidRPr="00074F4B" w:rsidRDefault="00176EBB" w:rsidP="00BC0C9B">
      <w:pPr>
        <w:pStyle w:val="Akapitzlist"/>
        <w:numPr>
          <w:ilvl w:val="1"/>
          <w:numId w:val="52"/>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Analiza finansowej efektywności przedsięwzięcia</w:t>
      </w:r>
    </w:p>
    <w:p w14:paraId="4019AAB6" w14:textId="324D3198" w:rsidR="00176EBB" w:rsidRPr="00074F4B" w:rsidRDefault="00706251" w:rsidP="00BC0C9B">
      <w:pPr>
        <w:pStyle w:val="Akapitzlist"/>
        <w:numPr>
          <w:ilvl w:val="2"/>
          <w:numId w:val="52"/>
        </w:numPr>
        <w:spacing w:before="120" w:after="120" w:line="288" w:lineRule="auto"/>
        <w:ind w:left="1134" w:hanging="567"/>
        <w:contextualSpacing w:val="0"/>
        <w:rPr>
          <w:rFonts w:ascii="Open Sans" w:hAnsi="Open Sans" w:cs="Open Sans"/>
          <w:sz w:val="22"/>
        </w:rPr>
      </w:pPr>
      <w:r w:rsidRPr="00074F4B">
        <w:rPr>
          <w:rFonts w:ascii="Open Sans" w:hAnsi="Open Sans" w:cs="Open Sans"/>
          <w:sz w:val="22"/>
        </w:rPr>
        <w:t>O</w:t>
      </w:r>
      <w:r w:rsidR="00176EBB" w:rsidRPr="00074F4B">
        <w:rPr>
          <w:rFonts w:ascii="Open Sans" w:hAnsi="Open Sans" w:cs="Open Sans"/>
          <w:sz w:val="22"/>
        </w:rPr>
        <w:t>bliczenie zwrotu z inwestycji (FNPV/C i FIRR/C bez i z</w:t>
      </w:r>
      <w:r w:rsidR="004600D4" w:rsidRPr="00074F4B">
        <w:rPr>
          <w:rFonts w:ascii="Open Sans" w:hAnsi="Open Sans" w:cs="Open Sans"/>
          <w:sz w:val="22"/>
        </w:rPr>
        <w:t>e</w:t>
      </w:r>
      <w:r w:rsidR="00176EBB" w:rsidRPr="00074F4B">
        <w:rPr>
          <w:rFonts w:ascii="Open Sans" w:hAnsi="Open Sans" w:cs="Open Sans"/>
          <w:sz w:val="22"/>
        </w:rPr>
        <w:t xml:space="preserve"> wsparciem UE)</w:t>
      </w:r>
    </w:p>
    <w:p w14:paraId="4650ECD5" w14:textId="263C4651" w:rsidR="00A056EA" w:rsidRPr="00074F4B" w:rsidRDefault="00A056EA" w:rsidP="00BC0C9B">
      <w:pPr>
        <w:pStyle w:val="Akapitzlist"/>
        <w:numPr>
          <w:ilvl w:val="2"/>
          <w:numId w:val="52"/>
        </w:numPr>
        <w:spacing w:before="120" w:after="120" w:line="288" w:lineRule="auto"/>
        <w:ind w:left="1418" w:hanging="851"/>
        <w:contextualSpacing w:val="0"/>
        <w:rPr>
          <w:rFonts w:ascii="Open Sans" w:hAnsi="Open Sans" w:cs="Open Sans"/>
          <w:color w:val="auto"/>
          <w:sz w:val="22"/>
        </w:rPr>
      </w:pPr>
      <w:r w:rsidRPr="00074F4B">
        <w:rPr>
          <w:rFonts w:ascii="Open Sans" w:hAnsi="Open Sans" w:cs="Open Sans"/>
          <w:color w:val="auto"/>
          <w:sz w:val="22"/>
        </w:rPr>
        <w:t xml:space="preserve">Obliczenie zwrotu z kapitału krajowego (FNPV/K i FRR/R bez i ze wsparciem UE) – dotyczy projektów o wartości 50 mln PLN i powyżej </w:t>
      </w:r>
    </w:p>
    <w:p w14:paraId="4019AAB8" w14:textId="68D79BC6" w:rsidR="00176EBB" w:rsidRPr="00074F4B" w:rsidRDefault="00176EBB" w:rsidP="00BC0C9B">
      <w:pPr>
        <w:pStyle w:val="Akapitzlist"/>
        <w:numPr>
          <w:ilvl w:val="1"/>
          <w:numId w:val="52"/>
        </w:numPr>
        <w:spacing w:before="120" w:after="120" w:line="288" w:lineRule="auto"/>
        <w:ind w:left="567" w:hanging="567"/>
        <w:contextualSpacing w:val="0"/>
        <w:mirrorIndents/>
        <w:rPr>
          <w:rFonts w:ascii="Open Sans" w:hAnsi="Open Sans" w:cs="Open Sans"/>
          <w:sz w:val="22"/>
        </w:rPr>
      </w:pPr>
      <w:r w:rsidRPr="00074F4B">
        <w:rPr>
          <w:rFonts w:ascii="Open Sans" w:hAnsi="Open Sans" w:cs="Open Sans"/>
          <w:sz w:val="22"/>
        </w:rPr>
        <w:t xml:space="preserve">Prognoza sprawozdań finansowych beneficjenta i </w:t>
      </w:r>
      <w:r w:rsidR="004600D4" w:rsidRPr="00074F4B">
        <w:rPr>
          <w:rFonts w:ascii="Open Sans" w:hAnsi="Open Sans" w:cs="Open Sans"/>
          <w:sz w:val="22"/>
        </w:rPr>
        <w:t xml:space="preserve">podmiotów upoważnionych do ponoszenia wydatków kwalifikowanych </w:t>
      </w:r>
      <w:r w:rsidR="00706251" w:rsidRPr="00074F4B">
        <w:rPr>
          <w:rFonts w:ascii="Open Sans" w:hAnsi="Open Sans" w:cs="Open Sans"/>
          <w:sz w:val="22"/>
        </w:rPr>
        <w:t>(</w:t>
      </w:r>
      <w:r w:rsidRPr="00074F4B">
        <w:rPr>
          <w:rFonts w:ascii="Open Sans" w:hAnsi="Open Sans" w:cs="Open Sans"/>
          <w:i/>
          <w:sz w:val="22"/>
        </w:rPr>
        <w:t>o ile dotyczy</w:t>
      </w:r>
      <w:r w:rsidR="00706251" w:rsidRPr="00074F4B">
        <w:rPr>
          <w:rFonts w:ascii="Open Sans" w:hAnsi="Open Sans" w:cs="Open Sans"/>
          <w:i/>
          <w:sz w:val="22"/>
        </w:rPr>
        <w:t>)</w:t>
      </w:r>
      <w:r w:rsidR="004600D4" w:rsidRPr="00074F4B">
        <w:rPr>
          <w:rFonts w:ascii="Open Sans" w:hAnsi="Open Sans" w:cs="Open Sans"/>
          <w:i/>
          <w:sz w:val="22"/>
        </w:rPr>
        <w:t xml:space="preserve"> </w:t>
      </w:r>
      <w:r w:rsidRPr="00074F4B">
        <w:rPr>
          <w:rFonts w:ascii="Open Sans" w:hAnsi="Open Sans" w:cs="Open Sans"/>
          <w:sz w:val="22"/>
        </w:rPr>
        <w:t>i ich analiza wskaźnikowa</w:t>
      </w:r>
    </w:p>
    <w:p w14:paraId="4019AABA" w14:textId="1CEAB767" w:rsidR="004170C7" w:rsidRPr="00074F4B" w:rsidRDefault="00176EBB" w:rsidP="00BC0C9B">
      <w:pPr>
        <w:pStyle w:val="Akapitzlist"/>
        <w:numPr>
          <w:ilvl w:val="1"/>
          <w:numId w:val="52"/>
        </w:numPr>
        <w:spacing w:before="120" w:after="120" w:line="288" w:lineRule="auto"/>
        <w:ind w:left="709" w:hanging="709"/>
        <w:contextualSpacing w:val="0"/>
        <w:mirrorIndents/>
        <w:rPr>
          <w:rFonts w:ascii="Open Sans" w:hAnsi="Open Sans" w:cs="Open Sans"/>
          <w:sz w:val="22"/>
        </w:rPr>
      </w:pPr>
      <w:r w:rsidRPr="00074F4B">
        <w:rPr>
          <w:rFonts w:ascii="Open Sans" w:hAnsi="Open Sans" w:cs="Open Sans"/>
          <w:sz w:val="22"/>
        </w:rPr>
        <w:t xml:space="preserve">Ocena prognoz sprawozdań finansowych beneficjenta i </w:t>
      </w:r>
      <w:r w:rsidR="001C671C" w:rsidRPr="00074F4B">
        <w:rPr>
          <w:rFonts w:ascii="Open Sans" w:hAnsi="Open Sans" w:cs="Open Sans"/>
          <w:sz w:val="22"/>
        </w:rPr>
        <w:t xml:space="preserve">podmiotów upoważnionych do ponoszenia wydatków kwalifikowanych </w:t>
      </w:r>
      <w:r w:rsidR="00706251" w:rsidRPr="00074F4B">
        <w:rPr>
          <w:rFonts w:ascii="Open Sans" w:hAnsi="Open Sans" w:cs="Open Sans"/>
          <w:i/>
          <w:sz w:val="22"/>
        </w:rPr>
        <w:t>(</w:t>
      </w:r>
      <w:r w:rsidRPr="00074F4B">
        <w:rPr>
          <w:rFonts w:ascii="Open Sans" w:hAnsi="Open Sans" w:cs="Open Sans"/>
          <w:i/>
          <w:sz w:val="22"/>
        </w:rPr>
        <w:t>o ile dotyczy</w:t>
      </w:r>
      <w:r w:rsidR="00706251" w:rsidRPr="00074F4B">
        <w:rPr>
          <w:rFonts w:ascii="Open Sans" w:hAnsi="Open Sans" w:cs="Open Sans"/>
          <w:i/>
          <w:sz w:val="22"/>
        </w:rPr>
        <w:t>)</w:t>
      </w:r>
      <w:r w:rsidRPr="00074F4B">
        <w:rPr>
          <w:rFonts w:ascii="Open Sans" w:hAnsi="Open Sans" w:cs="Open Sans"/>
          <w:sz w:val="22"/>
        </w:rPr>
        <w:t>, w</w:t>
      </w:r>
      <w:r w:rsidR="00437501">
        <w:rPr>
          <w:rFonts w:ascii="Open Sans" w:hAnsi="Open Sans" w:cs="Open Sans"/>
          <w:sz w:val="22"/>
        </w:rPr>
        <w:t> </w:t>
      </w:r>
      <w:r w:rsidRPr="00074F4B">
        <w:rPr>
          <w:rFonts w:ascii="Open Sans" w:hAnsi="Open Sans" w:cs="Open Sans"/>
          <w:sz w:val="22"/>
        </w:rPr>
        <w:t>kontekście potwierdzenia ich trwałości finansowej w fazie operacyjnej</w:t>
      </w:r>
    </w:p>
    <w:p w14:paraId="16855839" w14:textId="738AA516" w:rsidR="00A056EA" w:rsidRPr="00074F4B" w:rsidRDefault="00F85B15" w:rsidP="00BC0C9B">
      <w:pPr>
        <w:pStyle w:val="Nagwek1"/>
        <w:numPr>
          <w:ilvl w:val="0"/>
          <w:numId w:val="52"/>
        </w:numPr>
        <w:spacing w:line="288" w:lineRule="auto"/>
        <w:rPr>
          <w:rFonts w:ascii="Open Sans" w:hAnsi="Open Sans" w:cs="Open Sans"/>
          <w:sz w:val="22"/>
          <w:szCs w:val="22"/>
        </w:rPr>
      </w:pPr>
      <w:r w:rsidRPr="00074F4B">
        <w:rPr>
          <w:rFonts w:ascii="Open Sans" w:hAnsi="Open Sans" w:cs="Open Sans"/>
          <w:sz w:val="22"/>
          <w:szCs w:val="22"/>
        </w:rPr>
        <w:t xml:space="preserve"> Analiza kosztów i korzyści </w:t>
      </w:r>
      <w:r w:rsidR="00A056EA" w:rsidRPr="00074F4B">
        <w:rPr>
          <w:rFonts w:ascii="Open Sans" w:hAnsi="Open Sans" w:cs="Open Sans"/>
          <w:sz w:val="22"/>
          <w:szCs w:val="22"/>
        </w:rPr>
        <w:t>(</w:t>
      </w:r>
      <w:r w:rsidR="00863F12" w:rsidRPr="00074F4B">
        <w:rPr>
          <w:rFonts w:ascii="Open Sans" w:hAnsi="Open Sans" w:cs="Open Sans"/>
          <w:sz w:val="22"/>
          <w:szCs w:val="22"/>
        </w:rPr>
        <w:t xml:space="preserve">pełna analiza </w:t>
      </w:r>
      <w:r w:rsidR="00A056EA" w:rsidRPr="00074F4B">
        <w:rPr>
          <w:rFonts w:ascii="Open Sans" w:hAnsi="Open Sans" w:cs="Open Sans"/>
          <w:sz w:val="22"/>
          <w:szCs w:val="22"/>
        </w:rPr>
        <w:t>dotyczy projektów o wartości 50</w:t>
      </w:r>
      <w:r w:rsidR="00437501">
        <w:rPr>
          <w:rFonts w:ascii="Open Sans" w:hAnsi="Open Sans" w:cs="Open Sans"/>
          <w:sz w:val="22"/>
          <w:szCs w:val="22"/>
        </w:rPr>
        <w:t> </w:t>
      </w:r>
      <w:r w:rsidR="00A056EA" w:rsidRPr="00074F4B">
        <w:rPr>
          <w:rFonts w:ascii="Open Sans" w:hAnsi="Open Sans" w:cs="Open Sans"/>
          <w:sz w:val="22"/>
          <w:szCs w:val="22"/>
        </w:rPr>
        <w:t xml:space="preserve">mln PLN i powyżej) </w:t>
      </w:r>
    </w:p>
    <w:p w14:paraId="6D12E663" w14:textId="34F7F514" w:rsidR="00822728" w:rsidRPr="00074F4B" w:rsidRDefault="00822728"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Metodyka analizy kosztów i korzyści</w:t>
      </w:r>
      <w:r w:rsidR="00A056EA" w:rsidRPr="00074F4B">
        <w:rPr>
          <w:rFonts w:ascii="Open Sans" w:hAnsi="Open Sans" w:cs="Open Sans"/>
          <w:sz w:val="22"/>
        </w:rPr>
        <w:t xml:space="preserve"> (analizy ekonomicznej)</w:t>
      </w:r>
    </w:p>
    <w:p w14:paraId="450EF498" w14:textId="7F19E95D" w:rsidR="00822728" w:rsidRPr="00074F4B" w:rsidRDefault="00822728"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Analiza kosztów związanych z realizacją przedsięwzięcia z punktu widzenia społecz</w:t>
      </w:r>
      <w:r w:rsidR="0074753B" w:rsidRPr="00074F4B">
        <w:rPr>
          <w:rFonts w:ascii="Open Sans" w:hAnsi="Open Sans" w:cs="Open Sans"/>
          <w:sz w:val="22"/>
        </w:rPr>
        <w:t>eństwa oraz środowiska</w:t>
      </w:r>
    </w:p>
    <w:p w14:paraId="30CE919D" w14:textId="0B0ECF92" w:rsidR="00822728" w:rsidRPr="00074F4B" w:rsidRDefault="0074753B"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Wskazanie i porównanie kosztów i korzyści społecznych, ekonomicznych (w tym środowiskowych) przyjętych rozwiązań</w:t>
      </w:r>
    </w:p>
    <w:p w14:paraId="4019AAC9" w14:textId="5121C159" w:rsidR="004170C7" w:rsidRPr="00074F4B" w:rsidRDefault="002B5A4C" w:rsidP="00BC0C9B">
      <w:pPr>
        <w:pStyle w:val="Nagwek1"/>
        <w:numPr>
          <w:ilvl w:val="0"/>
          <w:numId w:val="52"/>
        </w:numPr>
        <w:spacing w:line="288" w:lineRule="auto"/>
        <w:rPr>
          <w:rFonts w:ascii="Open Sans" w:hAnsi="Open Sans" w:cs="Open Sans"/>
          <w:sz w:val="22"/>
          <w:szCs w:val="22"/>
        </w:rPr>
      </w:pPr>
      <w:r w:rsidRPr="00074F4B">
        <w:rPr>
          <w:rFonts w:ascii="Open Sans" w:hAnsi="Open Sans" w:cs="Open Sans"/>
          <w:sz w:val="22"/>
          <w:szCs w:val="22"/>
        </w:rPr>
        <w:t xml:space="preserve">Analiza </w:t>
      </w:r>
      <w:r w:rsidR="00A1589D" w:rsidRPr="00074F4B">
        <w:rPr>
          <w:rFonts w:ascii="Open Sans" w:hAnsi="Open Sans" w:cs="Open Sans"/>
          <w:sz w:val="22"/>
          <w:szCs w:val="22"/>
        </w:rPr>
        <w:t xml:space="preserve">ryzyka i </w:t>
      </w:r>
      <w:r w:rsidR="00126E67" w:rsidRPr="00074F4B">
        <w:rPr>
          <w:rFonts w:ascii="Open Sans" w:hAnsi="Open Sans" w:cs="Open Sans"/>
          <w:sz w:val="22"/>
          <w:szCs w:val="22"/>
        </w:rPr>
        <w:t>wrażliwości</w:t>
      </w:r>
    </w:p>
    <w:p w14:paraId="4019AACA" w14:textId="4C7BFFC2" w:rsidR="00A1589D" w:rsidRPr="00074F4B" w:rsidRDefault="00A1589D"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 xml:space="preserve">Analiza wrażliwości </w:t>
      </w:r>
    </w:p>
    <w:p w14:paraId="21CE2E72" w14:textId="28EC1F73" w:rsidR="005B76F8" w:rsidRPr="00074F4B" w:rsidRDefault="005B76F8" w:rsidP="00BC0C9B">
      <w:pPr>
        <w:pStyle w:val="Nagwek3"/>
        <w:numPr>
          <w:ilvl w:val="2"/>
          <w:numId w:val="52"/>
        </w:numPr>
        <w:spacing w:before="120" w:after="120" w:line="288" w:lineRule="auto"/>
        <w:ind w:left="1276" w:hanging="709"/>
        <w:rPr>
          <w:rFonts w:ascii="Open Sans" w:hAnsi="Open Sans" w:cs="Open Sans"/>
          <w:color w:val="auto"/>
          <w:sz w:val="22"/>
          <w:szCs w:val="22"/>
        </w:rPr>
      </w:pPr>
      <w:r w:rsidRPr="00541EE1">
        <w:rPr>
          <w:rFonts w:ascii="Open Sans" w:hAnsi="Open Sans" w:cs="Open Sans"/>
          <w:color w:val="000000" w:themeColor="text1"/>
          <w:sz w:val="22"/>
          <w:szCs w:val="22"/>
        </w:rPr>
        <w:t>Badanie zmiennych i ich wpływ na wskaźniki efektywności finansowej (</w:t>
      </w:r>
      <w:r w:rsidRPr="00541EE1">
        <w:rPr>
          <w:rFonts w:ascii="Open Sans" w:hAnsi="Open Sans" w:cs="Open Sans"/>
          <w:i/>
          <w:color w:val="000000" w:themeColor="text1"/>
          <w:sz w:val="22"/>
          <w:szCs w:val="22"/>
        </w:rPr>
        <w:t>o</w:t>
      </w:r>
      <w:r w:rsidR="00437501" w:rsidRPr="00541EE1">
        <w:rPr>
          <w:rFonts w:ascii="Open Sans" w:hAnsi="Open Sans" w:cs="Open Sans"/>
          <w:i/>
          <w:color w:val="000000" w:themeColor="text1"/>
          <w:sz w:val="22"/>
          <w:szCs w:val="22"/>
        </w:rPr>
        <w:t> </w:t>
      </w:r>
      <w:r w:rsidRPr="00541EE1">
        <w:rPr>
          <w:rFonts w:ascii="Open Sans" w:hAnsi="Open Sans" w:cs="Open Sans"/>
          <w:i/>
          <w:color w:val="000000" w:themeColor="text1"/>
          <w:sz w:val="22"/>
          <w:szCs w:val="22"/>
        </w:rPr>
        <w:t>ile dotyczy),</w:t>
      </w:r>
      <w:r w:rsidRPr="00074F4B">
        <w:rPr>
          <w:rFonts w:ascii="Open Sans" w:hAnsi="Open Sans" w:cs="Open Sans"/>
          <w:i/>
          <w:sz w:val="22"/>
          <w:szCs w:val="22"/>
        </w:rPr>
        <w:t xml:space="preserve"> </w:t>
      </w:r>
      <w:r w:rsidRPr="00074F4B">
        <w:rPr>
          <w:rFonts w:ascii="Open Sans" w:hAnsi="Open Sans" w:cs="Open Sans"/>
          <w:color w:val="auto"/>
          <w:sz w:val="22"/>
          <w:szCs w:val="22"/>
        </w:rPr>
        <w:t>a w przypadku projektów o wartości 50 mln PLN i powyżej także ekonomicznej efektywności przedsięwzięcia oraz jego trwałość finansową</w:t>
      </w:r>
    </w:p>
    <w:p w14:paraId="4019AACC" w14:textId="6485CA11" w:rsidR="00A1589D" w:rsidRPr="00074F4B" w:rsidRDefault="00A1589D" w:rsidP="00BC0C9B">
      <w:pPr>
        <w:pStyle w:val="Akapitzlist"/>
        <w:numPr>
          <w:ilvl w:val="2"/>
          <w:numId w:val="52"/>
        </w:numPr>
        <w:spacing w:before="120" w:after="120" w:line="288" w:lineRule="auto"/>
        <w:ind w:left="1276" w:hanging="709"/>
        <w:contextualSpacing w:val="0"/>
        <w:rPr>
          <w:rFonts w:ascii="Open Sans" w:hAnsi="Open Sans" w:cs="Open Sans"/>
          <w:sz w:val="22"/>
        </w:rPr>
      </w:pPr>
      <w:r w:rsidRPr="00074F4B">
        <w:rPr>
          <w:rFonts w:ascii="Open Sans" w:hAnsi="Open Sans" w:cs="Open Sans"/>
          <w:sz w:val="22"/>
        </w:rPr>
        <w:t xml:space="preserve">Zestawienie zmiennych zidentyfikowanych jako krytyczne </w:t>
      </w:r>
    </w:p>
    <w:p w14:paraId="4019AACD" w14:textId="78BCAF71" w:rsidR="00A1589D" w:rsidRPr="00074F4B" w:rsidRDefault="00A1589D" w:rsidP="00BC0C9B">
      <w:pPr>
        <w:pStyle w:val="Akapitzlist"/>
        <w:numPr>
          <w:ilvl w:val="2"/>
          <w:numId w:val="52"/>
        </w:numPr>
        <w:spacing w:before="120" w:after="120" w:line="288" w:lineRule="auto"/>
        <w:ind w:left="1276" w:hanging="709"/>
        <w:contextualSpacing w:val="0"/>
        <w:rPr>
          <w:rFonts w:ascii="Open Sans" w:hAnsi="Open Sans" w:cs="Open Sans"/>
          <w:sz w:val="22"/>
        </w:rPr>
      </w:pPr>
      <w:r w:rsidRPr="00074F4B">
        <w:rPr>
          <w:rFonts w:ascii="Open Sans" w:hAnsi="Open Sans" w:cs="Open Sans"/>
          <w:sz w:val="22"/>
        </w:rPr>
        <w:t xml:space="preserve">Wartości progowe dla zmiennych krytycznych </w:t>
      </w:r>
    </w:p>
    <w:p w14:paraId="4019AACE" w14:textId="5BCE6483" w:rsidR="00A1589D" w:rsidRPr="00074F4B" w:rsidRDefault="00A1589D"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eastAsia="Arial" w:hAnsi="Open Sans" w:cs="Open Sans"/>
          <w:sz w:val="22"/>
        </w:rPr>
        <w:t xml:space="preserve">Jakościowa </w:t>
      </w:r>
      <w:r w:rsidRPr="00074F4B">
        <w:rPr>
          <w:rFonts w:ascii="Open Sans" w:hAnsi="Open Sans" w:cs="Open Sans"/>
          <w:sz w:val="22"/>
        </w:rPr>
        <w:t xml:space="preserve">analiza ryzyka </w:t>
      </w:r>
    </w:p>
    <w:p w14:paraId="4019AACF" w14:textId="33121BAC" w:rsidR="00A1589D" w:rsidRPr="00074F4B" w:rsidRDefault="00A1589D" w:rsidP="00BC0C9B">
      <w:pPr>
        <w:pStyle w:val="Akapitzlist"/>
        <w:numPr>
          <w:ilvl w:val="2"/>
          <w:numId w:val="52"/>
        </w:numPr>
        <w:spacing w:before="120" w:after="120" w:line="288" w:lineRule="auto"/>
        <w:ind w:left="1276" w:hanging="709"/>
        <w:contextualSpacing w:val="0"/>
        <w:rPr>
          <w:rFonts w:ascii="Open Sans" w:hAnsi="Open Sans" w:cs="Open Sans"/>
          <w:sz w:val="22"/>
        </w:rPr>
      </w:pPr>
      <w:r w:rsidRPr="00074F4B">
        <w:rPr>
          <w:rFonts w:ascii="Open Sans" w:eastAsia="Arial" w:hAnsi="Open Sans" w:cs="Open Sans"/>
          <w:sz w:val="22"/>
        </w:rPr>
        <w:t xml:space="preserve">Lista zidentyfikowanych </w:t>
      </w:r>
      <w:proofErr w:type="spellStart"/>
      <w:r w:rsidRPr="00074F4B">
        <w:rPr>
          <w:rFonts w:ascii="Open Sans" w:eastAsia="Arial" w:hAnsi="Open Sans" w:cs="Open Sans"/>
          <w:sz w:val="22"/>
        </w:rPr>
        <w:t>ryzyk</w:t>
      </w:r>
      <w:proofErr w:type="spellEnd"/>
      <w:r w:rsidRPr="00074F4B">
        <w:rPr>
          <w:rFonts w:ascii="Open Sans" w:eastAsia="Arial" w:hAnsi="Open Sans" w:cs="Open Sans"/>
          <w:sz w:val="22"/>
        </w:rPr>
        <w:t xml:space="preserve"> </w:t>
      </w:r>
    </w:p>
    <w:p w14:paraId="4019AAD2" w14:textId="1D39778B" w:rsidR="00A1589D" w:rsidRPr="00074F4B" w:rsidRDefault="00A1589D" w:rsidP="00BC0C9B">
      <w:pPr>
        <w:pStyle w:val="Akapitzlist"/>
        <w:numPr>
          <w:ilvl w:val="2"/>
          <w:numId w:val="52"/>
        </w:numPr>
        <w:spacing w:before="120" w:after="120" w:line="288" w:lineRule="auto"/>
        <w:ind w:left="1276" w:hanging="709"/>
        <w:contextualSpacing w:val="0"/>
        <w:rPr>
          <w:rFonts w:ascii="Open Sans" w:eastAsia="Arial" w:hAnsi="Open Sans" w:cs="Open Sans"/>
          <w:sz w:val="22"/>
        </w:rPr>
      </w:pPr>
      <w:r w:rsidRPr="00074F4B">
        <w:rPr>
          <w:rFonts w:ascii="Open Sans" w:eastAsia="Arial" w:hAnsi="Open Sans" w:cs="Open Sans"/>
          <w:sz w:val="22"/>
        </w:rPr>
        <w:t>Matryca ryzyka (przyczyny wystąpienia ryzyka, ew. związek z analizą</w:t>
      </w:r>
      <w:r w:rsidR="00184FDD" w:rsidRPr="00074F4B">
        <w:rPr>
          <w:rFonts w:ascii="Open Sans" w:eastAsia="Arial" w:hAnsi="Open Sans" w:cs="Open Sans"/>
          <w:sz w:val="22"/>
        </w:rPr>
        <w:t xml:space="preserve"> </w:t>
      </w:r>
      <w:r w:rsidRPr="00074F4B">
        <w:rPr>
          <w:rFonts w:ascii="Open Sans" w:eastAsia="Arial" w:hAnsi="Open Sans" w:cs="Open Sans"/>
          <w:sz w:val="22"/>
        </w:rPr>
        <w:t xml:space="preserve">wrażliwości, skutki i prawdopodobieństwo wystąpienia, poziom ryzyka, </w:t>
      </w:r>
      <w:proofErr w:type="spellStart"/>
      <w:r w:rsidRPr="00074F4B">
        <w:rPr>
          <w:rFonts w:ascii="Open Sans" w:eastAsia="Arial" w:hAnsi="Open Sans" w:cs="Open Sans"/>
          <w:sz w:val="22"/>
        </w:rPr>
        <w:t>mitygacja</w:t>
      </w:r>
      <w:proofErr w:type="spellEnd"/>
      <w:r w:rsidRPr="00074F4B">
        <w:rPr>
          <w:rFonts w:ascii="Open Sans" w:eastAsia="Arial" w:hAnsi="Open Sans" w:cs="Open Sans"/>
          <w:sz w:val="22"/>
        </w:rPr>
        <w:t xml:space="preserve"> ryzyka, ryzyka rezydualne) </w:t>
      </w:r>
    </w:p>
    <w:p w14:paraId="4019AAD3" w14:textId="6EEAF6E5" w:rsidR="00A1589D" w:rsidRPr="00074F4B" w:rsidRDefault="00A1589D" w:rsidP="00BC0C9B">
      <w:pPr>
        <w:pStyle w:val="Akapitzlist"/>
        <w:numPr>
          <w:ilvl w:val="2"/>
          <w:numId w:val="52"/>
        </w:numPr>
        <w:spacing w:before="120" w:after="120" w:line="288" w:lineRule="auto"/>
        <w:ind w:left="1276" w:hanging="709"/>
        <w:contextualSpacing w:val="0"/>
        <w:rPr>
          <w:rFonts w:ascii="Open Sans" w:eastAsia="Arial" w:hAnsi="Open Sans" w:cs="Open Sans"/>
          <w:sz w:val="22"/>
        </w:rPr>
      </w:pPr>
      <w:r w:rsidRPr="00074F4B">
        <w:rPr>
          <w:rFonts w:ascii="Open Sans" w:eastAsia="Arial" w:hAnsi="Open Sans" w:cs="Open Sans"/>
          <w:sz w:val="22"/>
        </w:rPr>
        <w:t xml:space="preserve">Interpretacja matrycy </w:t>
      </w:r>
      <w:proofErr w:type="spellStart"/>
      <w:r w:rsidRPr="00074F4B">
        <w:rPr>
          <w:rFonts w:ascii="Open Sans" w:eastAsia="Arial" w:hAnsi="Open Sans" w:cs="Open Sans"/>
          <w:sz w:val="22"/>
        </w:rPr>
        <w:t>ryzyk</w:t>
      </w:r>
      <w:proofErr w:type="spellEnd"/>
    </w:p>
    <w:p w14:paraId="4019AAD4" w14:textId="39AA10AB" w:rsidR="00004B55" w:rsidRPr="00074F4B" w:rsidRDefault="00004B55"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Ilościowa analiza ryzyka (</w:t>
      </w:r>
      <w:r w:rsidRPr="00074F4B">
        <w:rPr>
          <w:rFonts w:ascii="Open Sans" w:hAnsi="Open Sans" w:cs="Open Sans"/>
          <w:i/>
          <w:sz w:val="22"/>
        </w:rPr>
        <w:t>o ile dotyczy</w:t>
      </w:r>
      <w:r w:rsidRPr="00074F4B">
        <w:rPr>
          <w:rFonts w:ascii="Open Sans" w:hAnsi="Open Sans" w:cs="Open Sans"/>
          <w:sz w:val="22"/>
        </w:rPr>
        <w:t>)</w:t>
      </w:r>
    </w:p>
    <w:p w14:paraId="4019AAD6" w14:textId="30945FE1" w:rsidR="00A97DB9" w:rsidRPr="00074F4B" w:rsidRDefault="002A406B" w:rsidP="00BC0C9B">
      <w:pPr>
        <w:pStyle w:val="Akapitzlist"/>
        <w:numPr>
          <w:ilvl w:val="1"/>
          <w:numId w:val="52"/>
        </w:numPr>
        <w:spacing w:before="120" w:after="120" w:line="288" w:lineRule="auto"/>
        <w:ind w:left="567" w:hanging="567"/>
        <w:contextualSpacing w:val="0"/>
        <w:rPr>
          <w:rFonts w:ascii="Open Sans" w:hAnsi="Open Sans" w:cs="Open Sans"/>
          <w:sz w:val="22"/>
        </w:rPr>
      </w:pPr>
      <w:r w:rsidRPr="00074F4B">
        <w:rPr>
          <w:rFonts w:ascii="Open Sans" w:hAnsi="Open Sans" w:cs="Open Sans"/>
          <w:sz w:val="22"/>
        </w:rPr>
        <w:t xml:space="preserve">Działania zapobiegające wystąpieniu zidentyfikowanych </w:t>
      </w:r>
      <w:proofErr w:type="spellStart"/>
      <w:r w:rsidRPr="00074F4B">
        <w:rPr>
          <w:rFonts w:ascii="Open Sans" w:hAnsi="Open Sans" w:cs="Open Sans"/>
          <w:sz w:val="22"/>
        </w:rPr>
        <w:t>ryzyk</w:t>
      </w:r>
      <w:proofErr w:type="spellEnd"/>
      <w:r w:rsidRPr="00074F4B">
        <w:rPr>
          <w:rFonts w:ascii="Open Sans" w:hAnsi="Open Sans" w:cs="Open Sans"/>
          <w:sz w:val="22"/>
        </w:rPr>
        <w:t xml:space="preserve"> lub ograniczające skutki ich wystąpienia</w:t>
      </w:r>
    </w:p>
    <w:p w14:paraId="4019AAD7" w14:textId="0141A2AE" w:rsidR="00413BB4" w:rsidRPr="00074F4B" w:rsidRDefault="00413BB4" w:rsidP="00BC0C9B">
      <w:pPr>
        <w:spacing w:before="360" w:after="120" w:line="288" w:lineRule="auto"/>
        <w:ind w:left="0" w:firstLine="0"/>
        <w:rPr>
          <w:rFonts w:ascii="Open Sans" w:hAnsi="Open Sans" w:cs="Open Sans"/>
          <w:bCs/>
          <w:sz w:val="22"/>
        </w:rPr>
      </w:pPr>
      <w:r w:rsidRPr="00074F4B">
        <w:rPr>
          <w:rFonts w:ascii="Open Sans" w:hAnsi="Open Sans" w:cs="Open Sans"/>
          <w:b/>
          <w:sz w:val="22"/>
        </w:rPr>
        <w:t>UWAGA:</w:t>
      </w:r>
      <w:r w:rsidRPr="00074F4B">
        <w:rPr>
          <w:rFonts w:ascii="Open Sans" w:hAnsi="Open Sans" w:cs="Open Sans"/>
          <w:bCs/>
          <w:sz w:val="22"/>
        </w:rPr>
        <w:t xml:space="preserve"> zgodnie z </w:t>
      </w:r>
      <w:r w:rsidRPr="00074F4B">
        <w:rPr>
          <w:rFonts w:ascii="Open Sans" w:hAnsi="Open Sans" w:cs="Open Sans"/>
          <w:bCs/>
          <w:i/>
          <w:sz w:val="22"/>
        </w:rPr>
        <w:t xml:space="preserve">Wytycznymi </w:t>
      </w:r>
      <w:r w:rsidR="00685FF3" w:rsidRPr="00074F4B">
        <w:rPr>
          <w:rFonts w:ascii="Open Sans" w:hAnsi="Open Sans" w:cs="Open Sans"/>
          <w:bCs/>
          <w:i/>
          <w:sz w:val="22"/>
        </w:rPr>
        <w:t>dotyczącymi zagadnień związanych z przygotowaniem projektów inwestycyjnych, w tym hybrydowych na lata 2021-2027</w:t>
      </w:r>
      <w:r w:rsidR="00EE09D2" w:rsidRPr="00074F4B">
        <w:rPr>
          <w:rFonts w:ascii="Open Sans" w:hAnsi="Open Sans" w:cs="Open Sans"/>
          <w:bCs/>
          <w:i/>
          <w:sz w:val="22"/>
        </w:rPr>
        <w:t xml:space="preserve"> </w:t>
      </w:r>
      <w:r w:rsidRPr="00074F4B">
        <w:rPr>
          <w:rFonts w:ascii="Open Sans" w:hAnsi="Open Sans" w:cs="Open Sans"/>
          <w:bCs/>
          <w:i/>
          <w:sz w:val="22"/>
        </w:rPr>
        <w:t xml:space="preserve"> </w:t>
      </w:r>
      <w:r w:rsidR="00FC4A9E" w:rsidRPr="00074F4B">
        <w:rPr>
          <w:rFonts w:ascii="Open Sans" w:hAnsi="Open Sans" w:cs="Open Sans"/>
          <w:bCs/>
          <w:i/>
          <w:sz w:val="22"/>
        </w:rPr>
        <w:t>(</w:t>
      </w:r>
      <w:hyperlink r:id="rId8" w:history="1">
        <w:r w:rsidR="00FC4A9E" w:rsidRPr="00074F4B">
          <w:rPr>
            <w:rStyle w:val="Hipercze"/>
            <w:rFonts w:ascii="Open Sans" w:hAnsi="Open Sans" w:cs="Open Sans"/>
            <w:bCs/>
            <w:i/>
            <w:sz w:val="22"/>
          </w:rPr>
          <w:t>https://www.funduszeeuropejskie.gov.pl/media/115275/Wytyczne_PI_i_PH_21_27_5.pdf</w:t>
        </w:r>
      </w:hyperlink>
      <w:r w:rsidR="00FC4A9E" w:rsidRPr="00074F4B">
        <w:rPr>
          <w:rFonts w:ascii="Open Sans" w:hAnsi="Open Sans" w:cs="Open Sans"/>
          <w:bCs/>
          <w:i/>
          <w:sz w:val="22"/>
        </w:rPr>
        <w:t xml:space="preserve">) </w:t>
      </w:r>
      <w:r w:rsidRPr="00074F4B">
        <w:rPr>
          <w:rFonts w:ascii="Open Sans" w:hAnsi="Open Sans" w:cs="Open Sans"/>
          <w:bCs/>
          <w:sz w:val="22"/>
        </w:rPr>
        <w:t>część Studium Wykonalności stanowi załącznik obliczeniowy w formie arkusza kalkulacyjnego, który należy dołączyć do Studium Wykonalności w wersji elektronicznej w formie aktywnego modelu finansowego w formacie „xls”, „</w:t>
      </w:r>
      <w:proofErr w:type="spellStart"/>
      <w:r w:rsidRPr="00074F4B">
        <w:rPr>
          <w:rFonts w:ascii="Open Sans" w:hAnsi="Open Sans" w:cs="Open Sans"/>
          <w:bCs/>
          <w:sz w:val="22"/>
        </w:rPr>
        <w:t>xlsx</w:t>
      </w:r>
      <w:proofErr w:type="spellEnd"/>
      <w:r w:rsidRPr="00074F4B">
        <w:rPr>
          <w:rFonts w:ascii="Open Sans" w:hAnsi="Open Sans" w:cs="Open Sans"/>
          <w:bCs/>
          <w:sz w:val="22"/>
        </w:rPr>
        <w:t>”, „</w:t>
      </w:r>
      <w:proofErr w:type="spellStart"/>
      <w:r w:rsidRPr="00074F4B">
        <w:rPr>
          <w:rFonts w:ascii="Open Sans" w:hAnsi="Open Sans" w:cs="Open Sans"/>
          <w:bCs/>
          <w:sz w:val="22"/>
        </w:rPr>
        <w:t>xlsm</w:t>
      </w:r>
      <w:proofErr w:type="spellEnd"/>
      <w:r w:rsidRPr="00074F4B">
        <w:rPr>
          <w:rFonts w:ascii="Open Sans" w:hAnsi="Open Sans" w:cs="Open Sans"/>
          <w:bCs/>
          <w:sz w:val="22"/>
        </w:rPr>
        <w:t>” z odblokowanymi formułami.</w:t>
      </w:r>
    </w:p>
    <w:p w14:paraId="33C268BA" w14:textId="145EDE27" w:rsidR="00074F4B" w:rsidRPr="00C64388" w:rsidRDefault="00C64388" w:rsidP="00BC0C9B">
      <w:pPr>
        <w:spacing w:line="288" w:lineRule="auto"/>
        <w:rPr>
          <w:rFonts w:ascii="Open Sans" w:hAnsi="Open Sans" w:cs="Open Sans"/>
          <w:b/>
        </w:rPr>
      </w:pPr>
      <w:r>
        <w:rPr>
          <w:rFonts w:ascii="Open Sans" w:hAnsi="Open Sans" w:cs="Open Sans"/>
          <w:b/>
        </w:rPr>
        <w:br w:type="column"/>
      </w:r>
      <w:r w:rsidR="00074F4B" w:rsidRPr="00C64388">
        <w:rPr>
          <w:rFonts w:ascii="Open Sans" w:hAnsi="Open Sans" w:cs="Open Sans"/>
          <w:b/>
        </w:rPr>
        <w:t>Założenia do analiz finansowych dla działania FENX.02.05 Woda do spożycia</w:t>
      </w:r>
    </w:p>
    <w:p w14:paraId="4508FEFE" w14:textId="77777777" w:rsidR="00074F4B" w:rsidRPr="00074F4B" w:rsidRDefault="00074F4B" w:rsidP="00BC0C9B">
      <w:pPr>
        <w:spacing w:after="0" w:line="288" w:lineRule="auto"/>
        <w:contextualSpacing/>
        <w:rPr>
          <w:rFonts w:ascii="Open Sans" w:hAnsi="Open Sans" w:cs="Open Sans"/>
          <w:i/>
          <w:iCs/>
          <w:sz w:val="22"/>
          <w:u w:val="single"/>
        </w:rPr>
      </w:pPr>
      <w:r w:rsidRPr="00074F4B">
        <w:rPr>
          <w:rFonts w:ascii="Open Sans" w:hAnsi="Open Sans" w:cs="Open Sans"/>
          <w:i/>
          <w:iCs/>
          <w:sz w:val="22"/>
          <w:u w:val="single"/>
        </w:rPr>
        <w:t>Uwaga:</w:t>
      </w:r>
    </w:p>
    <w:p w14:paraId="052B2660" w14:textId="057F4C55" w:rsidR="00074F4B" w:rsidRPr="00074F4B" w:rsidRDefault="00074F4B" w:rsidP="00BC0C9B">
      <w:pPr>
        <w:spacing w:after="0" w:line="288" w:lineRule="auto"/>
        <w:ind w:left="0" w:firstLine="0"/>
        <w:contextualSpacing/>
        <w:rPr>
          <w:rFonts w:ascii="Open Sans" w:hAnsi="Open Sans" w:cs="Open Sans"/>
          <w:i/>
          <w:iCs/>
          <w:sz w:val="22"/>
        </w:rPr>
      </w:pPr>
      <w:r w:rsidRPr="00074F4B">
        <w:rPr>
          <w:rFonts w:ascii="Open Sans" w:hAnsi="Open Sans" w:cs="Open Sans"/>
          <w:i/>
          <w:iCs/>
          <w:sz w:val="22"/>
        </w:rPr>
        <w:t>W kwestiach nieuregulowanych w niniejszych założeniach należy odnieść się do uregulowań zawartych w „Wytycznych dotyczących zagadnień związanych z</w:t>
      </w:r>
      <w:r w:rsidR="00437501">
        <w:rPr>
          <w:rFonts w:ascii="Open Sans" w:hAnsi="Open Sans" w:cs="Open Sans"/>
          <w:i/>
          <w:iCs/>
          <w:sz w:val="22"/>
        </w:rPr>
        <w:t> </w:t>
      </w:r>
      <w:r w:rsidRPr="00074F4B">
        <w:rPr>
          <w:rFonts w:ascii="Open Sans" w:hAnsi="Open Sans" w:cs="Open Sans"/>
          <w:i/>
          <w:iCs/>
          <w:sz w:val="22"/>
        </w:rPr>
        <w:t>przygotowaniem projektów inwestycyjnych, w tym hybrydowych na lata 2021-2027”.</w:t>
      </w:r>
    </w:p>
    <w:p w14:paraId="3E23F6DC" w14:textId="77777777" w:rsidR="00074F4B" w:rsidRPr="00074F4B" w:rsidRDefault="00074F4B" w:rsidP="00BC0C9B">
      <w:pPr>
        <w:spacing w:before="120" w:after="0" w:line="288" w:lineRule="auto"/>
        <w:rPr>
          <w:rFonts w:ascii="Open Sans" w:hAnsi="Open Sans" w:cs="Open Sans"/>
          <w:b/>
          <w:bCs/>
          <w:sz w:val="22"/>
        </w:rPr>
      </w:pPr>
      <w:r w:rsidRPr="00074F4B">
        <w:rPr>
          <w:rFonts w:ascii="Open Sans" w:hAnsi="Open Sans" w:cs="Open Sans"/>
          <w:b/>
          <w:bCs/>
          <w:sz w:val="22"/>
        </w:rPr>
        <w:t>I. Okres odniesienia:</w:t>
      </w:r>
    </w:p>
    <w:p w14:paraId="04C219D0" w14:textId="77777777" w:rsidR="00074F4B" w:rsidRPr="00074F4B" w:rsidRDefault="00074F4B" w:rsidP="00BC0C9B">
      <w:pPr>
        <w:spacing w:before="0" w:after="0" w:line="288" w:lineRule="auto"/>
        <w:ind w:left="0" w:firstLine="0"/>
        <w:rPr>
          <w:rFonts w:ascii="Open Sans" w:hAnsi="Open Sans" w:cs="Open Sans"/>
          <w:sz w:val="22"/>
        </w:rPr>
      </w:pPr>
      <w:r w:rsidRPr="00074F4B">
        <w:rPr>
          <w:rFonts w:ascii="Open Sans" w:hAnsi="Open Sans" w:cs="Open Sans"/>
          <w:sz w:val="22"/>
        </w:rPr>
        <w:t>Należy przyjąć ww. okres zgodnie z okresami odniesienia tożsamymi dla analizy finansowej i analizy ekonomicznej, zdefiniowanymi dla poprzedniej perspektywy finansowej POIiŚ 2014-2020 (Załącznik I do rozporządzenia nr KE 480/2014), tj.:</w:t>
      </w:r>
    </w:p>
    <w:p w14:paraId="2564E368" w14:textId="77777777" w:rsidR="00074F4B" w:rsidRPr="00074F4B" w:rsidRDefault="00074F4B" w:rsidP="00BC0C9B">
      <w:pPr>
        <w:pStyle w:val="Akapitzlist"/>
        <w:numPr>
          <w:ilvl w:val="0"/>
          <w:numId w:val="50"/>
        </w:numPr>
        <w:spacing w:before="0" w:after="0" w:line="288" w:lineRule="auto"/>
        <w:ind w:left="771" w:hanging="357"/>
        <w:contextualSpacing w:val="0"/>
        <w:rPr>
          <w:rFonts w:ascii="Open Sans" w:hAnsi="Open Sans" w:cs="Open Sans"/>
          <w:sz w:val="22"/>
        </w:rPr>
      </w:pPr>
      <w:r w:rsidRPr="00074F4B">
        <w:rPr>
          <w:rFonts w:ascii="Open Sans" w:hAnsi="Open Sans" w:cs="Open Sans"/>
          <w:sz w:val="22"/>
        </w:rPr>
        <w:t>Zaopatrzenie w wodę i usługi sanitarne: 30 lat.</w:t>
      </w:r>
    </w:p>
    <w:p w14:paraId="5EA9B6FF" w14:textId="77777777" w:rsidR="00074F4B" w:rsidRPr="00074F4B" w:rsidRDefault="00074F4B" w:rsidP="00BC0C9B">
      <w:pPr>
        <w:spacing w:before="120" w:after="0" w:line="288" w:lineRule="auto"/>
        <w:rPr>
          <w:rFonts w:ascii="Open Sans" w:hAnsi="Open Sans" w:cs="Open Sans"/>
          <w:b/>
          <w:bCs/>
          <w:sz w:val="22"/>
        </w:rPr>
      </w:pPr>
      <w:r w:rsidRPr="00074F4B">
        <w:rPr>
          <w:rFonts w:ascii="Open Sans" w:hAnsi="Open Sans" w:cs="Open Sans"/>
          <w:b/>
          <w:bCs/>
          <w:sz w:val="22"/>
        </w:rPr>
        <w:t>II. Wartość rezydualna:</w:t>
      </w:r>
    </w:p>
    <w:p w14:paraId="2FDE42C8" w14:textId="77777777" w:rsidR="00074F4B" w:rsidRPr="00074F4B" w:rsidRDefault="00074F4B" w:rsidP="00BC0C9B">
      <w:pPr>
        <w:spacing w:after="0" w:line="288" w:lineRule="auto"/>
        <w:ind w:left="0" w:firstLine="0"/>
        <w:contextualSpacing/>
        <w:rPr>
          <w:rFonts w:ascii="Open Sans" w:hAnsi="Open Sans" w:cs="Open Sans"/>
          <w:sz w:val="22"/>
        </w:rPr>
      </w:pPr>
      <w:r w:rsidRPr="00074F4B">
        <w:rPr>
          <w:rFonts w:ascii="Open Sans" w:hAnsi="Open Sans" w:cs="Open Sans"/>
          <w:sz w:val="22"/>
        </w:rPr>
        <w:t>Należy przyjąć metodę obliczenia wartości rezydualnej w oparciu o wycenę wartości aktywów trwałych netto, określoną przy wykorzystaniu metody i okresu amortyzacji zgodnych z polityką rachunkowości beneficjenta/operatora.</w:t>
      </w:r>
    </w:p>
    <w:p w14:paraId="3F273508" w14:textId="77777777" w:rsidR="00074F4B" w:rsidRPr="00074F4B" w:rsidRDefault="00074F4B" w:rsidP="00BC0C9B">
      <w:pPr>
        <w:spacing w:before="120" w:after="0" w:line="288" w:lineRule="auto"/>
        <w:rPr>
          <w:rFonts w:ascii="Open Sans" w:hAnsi="Open Sans" w:cs="Open Sans"/>
          <w:b/>
          <w:bCs/>
          <w:sz w:val="22"/>
        </w:rPr>
      </w:pPr>
      <w:r w:rsidRPr="00074F4B">
        <w:rPr>
          <w:rFonts w:ascii="Open Sans" w:hAnsi="Open Sans" w:cs="Open Sans"/>
          <w:b/>
          <w:bCs/>
          <w:sz w:val="22"/>
        </w:rPr>
        <w:t>III. Ceny stałe/bieżące (zmienne):</w:t>
      </w:r>
    </w:p>
    <w:p w14:paraId="5E2A5AEE" w14:textId="77777777" w:rsidR="00074F4B" w:rsidRPr="00074F4B" w:rsidRDefault="00074F4B" w:rsidP="00BC0C9B">
      <w:pPr>
        <w:spacing w:after="0" w:line="288" w:lineRule="auto"/>
        <w:ind w:left="0" w:firstLine="0"/>
        <w:contextualSpacing/>
        <w:rPr>
          <w:rFonts w:ascii="Open Sans" w:hAnsi="Open Sans" w:cs="Open Sans"/>
          <w:sz w:val="22"/>
        </w:rPr>
      </w:pPr>
      <w:r w:rsidRPr="00074F4B">
        <w:rPr>
          <w:rFonts w:ascii="Open Sans" w:hAnsi="Open Sans" w:cs="Open Sans"/>
          <w:sz w:val="22"/>
        </w:rPr>
        <w:t xml:space="preserve">Zgodnie z dokumentem: </w:t>
      </w:r>
      <w:r w:rsidRPr="00074F4B">
        <w:rPr>
          <w:rFonts w:ascii="Open Sans" w:hAnsi="Open Sans" w:cs="Open Sans"/>
          <w:i/>
          <w:iCs/>
          <w:sz w:val="22"/>
        </w:rPr>
        <w:t>Wytyczne dotyczące zagadnień związanych z przygotowaniem projektów inwestycyjnych, w tym hybrydowych na lata 2021-2027</w:t>
      </w:r>
      <w:r w:rsidRPr="00074F4B">
        <w:rPr>
          <w:rFonts w:ascii="Open Sans" w:hAnsi="Open Sans" w:cs="Open Sans"/>
          <w:sz w:val="22"/>
        </w:rPr>
        <w:t>, Roz. 6 Analiza finansowa, Podrozdział 6.4, analiza finansowa może być sporządzona:</w:t>
      </w:r>
    </w:p>
    <w:p w14:paraId="19EF534D" w14:textId="77777777" w:rsidR="00074F4B" w:rsidRPr="00074F4B" w:rsidRDefault="00074F4B" w:rsidP="00BC0C9B">
      <w:pPr>
        <w:pStyle w:val="Akapitzlist"/>
        <w:numPr>
          <w:ilvl w:val="0"/>
          <w:numId w:val="48"/>
        </w:numPr>
        <w:spacing w:before="0" w:after="0" w:line="288" w:lineRule="auto"/>
        <w:rPr>
          <w:rFonts w:ascii="Open Sans" w:hAnsi="Open Sans" w:cs="Open Sans"/>
          <w:sz w:val="22"/>
        </w:rPr>
      </w:pPr>
      <w:r w:rsidRPr="00074F4B">
        <w:rPr>
          <w:rFonts w:ascii="Open Sans" w:hAnsi="Open Sans" w:cs="Open Sans"/>
          <w:sz w:val="22"/>
        </w:rPr>
        <w:t>w cenach stałych lub</w:t>
      </w:r>
    </w:p>
    <w:p w14:paraId="0D5B6799" w14:textId="77777777" w:rsidR="00074F4B" w:rsidRPr="00074F4B" w:rsidRDefault="00074F4B" w:rsidP="00BC0C9B">
      <w:pPr>
        <w:pStyle w:val="Akapitzlist"/>
        <w:numPr>
          <w:ilvl w:val="0"/>
          <w:numId w:val="48"/>
        </w:numPr>
        <w:spacing w:before="0" w:after="0" w:line="288" w:lineRule="auto"/>
        <w:rPr>
          <w:rFonts w:ascii="Open Sans" w:hAnsi="Open Sans" w:cs="Open Sans"/>
          <w:sz w:val="22"/>
        </w:rPr>
      </w:pPr>
      <w:r w:rsidRPr="00074F4B">
        <w:rPr>
          <w:rFonts w:ascii="Open Sans" w:hAnsi="Open Sans" w:cs="Open Sans"/>
          <w:sz w:val="22"/>
        </w:rPr>
        <w:t>w cenach bieżących, przy czym, o ile to możliwe i uzasadnione, powinna być przeprowadzona w cenach stałych.</w:t>
      </w:r>
    </w:p>
    <w:p w14:paraId="06A21C05" w14:textId="77777777" w:rsidR="00074F4B" w:rsidRPr="00074F4B" w:rsidRDefault="00074F4B" w:rsidP="00BC0C9B">
      <w:pPr>
        <w:spacing w:before="120" w:after="0" w:line="288" w:lineRule="auto"/>
        <w:contextualSpacing/>
        <w:rPr>
          <w:rFonts w:ascii="Open Sans" w:hAnsi="Open Sans" w:cs="Open Sans"/>
          <w:sz w:val="22"/>
        </w:rPr>
      </w:pPr>
      <w:r w:rsidRPr="00074F4B">
        <w:rPr>
          <w:rFonts w:ascii="Open Sans" w:hAnsi="Open Sans" w:cs="Open Sans"/>
          <w:sz w:val="22"/>
        </w:rPr>
        <w:t>Ceny stałe/bieżące determinują stosowanie określonych stawek dyskontowych:</w:t>
      </w:r>
    </w:p>
    <w:p w14:paraId="1419B194" w14:textId="77777777" w:rsidR="00074F4B" w:rsidRPr="00074F4B" w:rsidRDefault="00074F4B" w:rsidP="00BC0C9B">
      <w:pPr>
        <w:pStyle w:val="Akapitzlist"/>
        <w:numPr>
          <w:ilvl w:val="0"/>
          <w:numId w:val="47"/>
        </w:numPr>
        <w:spacing w:before="0" w:after="0" w:line="288" w:lineRule="auto"/>
        <w:rPr>
          <w:rFonts w:ascii="Open Sans" w:hAnsi="Open Sans" w:cs="Open Sans"/>
          <w:sz w:val="22"/>
        </w:rPr>
      </w:pPr>
      <w:r w:rsidRPr="00074F4B">
        <w:rPr>
          <w:rFonts w:ascii="Open Sans" w:hAnsi="Open Sans" w:cs="Open Sans"/>
          <w:sz w:val="22"/>
        </w:rPr>
        <w:t xml:space="preserve">4 % do analizy finansowej prowadzonej w cenach stałych, </w:t>
      </w:r>
    </w:p>
    <w:p w14:paraId="38BE325D" w14:textId="77777777" w:rsidR="00074F4B" w:rsidRPr="00074F4B" w:rsidRDefault="00074F4B" w:rsidP="00BC0C9B">
      <w:pPr>
        <w:pStyle w:val="Akapitzlist"/>
        <w:numPr>
          <w:ilvl w:val="0"/>
          <w:numId w:val="47"/>
        </w:numPr>
        <w:spacing w:before="0" w:after="0" w:line="288" w:lineRule="auto"/>
        <w:rPr>
          <w:rFonts w:ascii="Open Sans" w:hAnsi="Open Sans" w:cs="Open Sans"/>
          <w:sz w:val="22"/>
        </w:rPr>
      </w:pPr>
      <w:r w:rsidRPr="00074F4B">
        <w:rPr>
          <w:rFonts w:ascii="Open Sans" w:hAnsi="Open Sans" w:cs="Open Sans"/>
          <w:sz w:val="22"/>
        </w:rPr>
        <w:t xml:space="preserve">9 % dla analizy finansowej prowadzonej w cenach bieżących. </w:t>
      </w:r>
    </w:p>
    <w:p w14:paraId="739EEB14" w14:textId="77777777" w:rsidR="00074F4B" w:rsidRPr="00074F4B" w:rsidRDefault="00074F4B" w:rsidP="00BC0C9B">
      <w:pPr>
        <w:spacing w:before="120" w:after="0" w:line="288" w:lineRule="auto"/>
        <w:ind w:left="0" w:firstLine="0"/>
        <w:contextualSpacing/>
        <w:rPr>
          <w:rFonts w:ascii="Open Sans" w:hAnsi="Open Sans" w:cs="Open Sans"/>
          <w:sz w:val="22"/>
        </w:rPr>
      </w:pPr>
      <w:r w:rsidRPr="00074F4B">
        <w:rPr>
          <w:rFonts w:ascii="Open Sans" w:hAnsi="Open Sans" w:cs="Open Sans"/>
          <w:sz w:val="22"/>
        </w:rPr>
        <w:t>Należy przyjąć możliwość dokonywania wyboru przez wnioskodawcę stosowania cen stałych lub zmiennych, ale z zaleceniem, że:</w:t>
      </w:r>
    </w:p>
    <w:p w14:paraId="32AD618B" w14:textId="7FA00C47" w:rsidR="00074F4B" w:rsidRPr="00074F4B" w:rsidRDefault="00074F4B" w:rsidP="00BC0C9B">
      <w:pPr>
        <w:pStyle w:val="Akapitzlist"/>
        <w:numPr>
          <w:ilvl w:val="0"/>
          <w:numId w:val="46"/>
        </w:numPr>
        <w:spacing w:before="0" w:after="0" w:line="288" w:lineRule="auto"/>
        <w:rPr>
          <w:rFonts w:ascii="Open Sans" w:hAnsi="Open Sans" w:cs="Open Sans"/>
          <w:sz w:val="22"/>
        </w:rPr>
      </w:pPr>
      <w:r w:rsidRPr="00074F4B">
        <w:rPr>
          <w:rFonts w:ascii="Open Sans" w:hAnsi="Open Sans" w:cs="Open Sans"/>
          <w:sz w:val="22"/>
        </w:rPr>
        <w:t>dla projektów o wartości do 50 mln zł, wnioskodawca ma dowolność w</w:t>
      </w:r>
      <w:r w:rsidR="00437501">
        <w:rPr>
          <w:rFonts w:ascii="Open Sans" w:hAnsi="Open Sans" w:cs="Open Sans"/>
          <w:sz w:val="22"/>
        </w:rPr>
        <w:t> </w:t>
      </w:r>
      <w:r w:rsidRPr="00074F4B">
        <w:rPr>
          <w:rFonts w:ascii="Open Sans" w:hAnsi="Open Sans" w:cs="Open Sans"/>
          <w:sz w:val="22"/>
        </w:rPr>
        <w:t>stosowaniu cen stałych/bieżących, ale z zastrzeżeniem, że przyjęcie cen zmiennych w analizie finansowej wymaga przedstawienia przez wnioskodawcę odpowiedniej argumentacji (specyfika branży, warunki makroekonomiczne, itp.);</w:t>
      </w:r>
    </w:p>
    <w:p w14:paraId="4083CDF7" w14:textId="77777777" w:rsidR="00074F4B" w:rsidRPr="00074F4B" w:rsidRDefault="00074F4B" w:rsidP="00BC0C9B">
      <w:pPr>
        <w:pStyle w:val="Akapitzlist"/>
        <w:numPr>
          <w:ilvl w:val="0"/>
          <w:numId w:val="46"/>
        </w:numPr>
        <w:spacing w:before="0" w:after="0" w:line="288" w:lineRule="auto"/>
        <w:rPr>
          <w:rFonts w:ascii="Open Sans" w:hAnsi="Open Sans" w:cs="Open Sans"/>
          <w:sz w:val="22"/>
        </w:rPr>
      </w:pPr>
      <w:r w:rsidRPr="00074F4B">
        <w:rPr>
          <w:rFonts w:ascii="Open Sans" w:hAnsi="Open Sans" w:cs="Open Sans"/>
          <w:sz w:val="22"/>
        </w:rPr>
        <w:t xml:space="preserve">dla projektów o wartości powyżej 50 mln zł, wnioskodawca powinien stosować ceny stałe, ze względu na konieczność ujednolicenia analizy finansowej oraz analizy ekonomicznej, która, co do zasady jest przeprowadzana w cenach stałych. </w:t>
      </w:r>
    </w:p>
    <w:p w14:paraId="497EAC42" w14:textId="77777777" w:rsidR="00074F4B" w:rsidRPr="00074F4B" w:rsidRDefault="00074F4B" w:rsidP="00BC0C9B">
      <w:pPr>
        <w:spacing w:before="120" w:after="0" w:line="288" w:lineRule="auto"/>
        <w:rPr>
          <w:rFonts w:ascii="Open Sans" w:hAnsi="Open Sans" w:cs="Open Sans"/>
          <w:b/>
          <w:bCs/>
          <w:sz w:val="22"/>
        </w:rPr>
      </w:pPr>
      <w:r w:rsidRPr="00074F4B">
        <w:rPr>
          <w:rFonts w:ascii="Open Sans" w:hAnsi="Open Sans" w:cs="Open Sans"/>
          <w:b/>
          <w:bCs/>
          <w:sz w:val="22"/>
        </w:rPr>
        <w:t>IV. Rezerwa na nieprzewidziane wydatki:</w:t>
      </w:r>
    </w:p>
    <w:p w14:paraId="1BA334CC" w14:textId="77777777" w:rsidR="00074F4B" w:rsidRPr="00074F4B" w:rsidRDefault="00074F4B" w:rsidP="00BC0C9B">
      <w:pPr>
        <w:spacing w:after="0" w:line="288" w:lineRule="auto"/>
        <w:ind w:left="0" w:firstLine="0"/>
        <w:contextualSpacing/>
        <w:rPr>
          <w:rFonts w:ascii="Open Sans" w:hAnsi="Open Sans" w:cs="Open Sans"/>
          <w:sz w:val="22"/>
        </w:rPr>
      </w:pPr>
      <w:r w:rsidRPr="00074F4B">
        <w:rPr>
          <w:rFonts w:ascii="Open Sans" w:hAnsi="Open Sans" w:cs="Open Sans"/>
          <w:sz w:val="22"/>
        </w:rPr>
        <w:t xml:space="preserve">Wnioskodawca ma możliwość uwzględniania rezerwy na nieprzewidziane wydatki (tzw. rezerwa inwestycyjna), ale z zastrzeżeniem, że maksymalna jej wartość nie może przekraczać 15% całkowitych nakładów inwestycyjnych oraz z zastrzeżeniem, że do proponowanego projektu załączona jest szczegółowa analiza ryzyka, uzasadniająca utworzenie rezerwy. </w:t>
      </w:r>
    </w:p>
    <w:p w14:paraId="5F2D4143" w14:textId="4DAC210B" w:rsidR="00074F4B" w:rsidRPr="00074F4B" w:rsidRDefault="00074F4B" w:rsidP="00BC0C9B">
      <w:pPr>
        <w:spacing w:after="0" w:line="288" w:lineRule="auto"/>
        <w:ind w:left="0" w:firstLine="0"/>
        <w:contextualSpacing/>
        <w:rPr>
          <w:rFonts w:ascii="Open Sans" w:hAnsi="Open Sans" w:cs="Open Sans"/>
          <w:sz w:val="22"/>
        </w:rPr>
      </w:pPr>
      <w:r w:rsidRPr="00074F4B">
        <w:rPr>
          <w:rFonts w:ascii="Open Sans" w:hAnsi="Open Sans" w:cs="Open Sans"/>
          <w:sz w:val="22"/>
        </w:rPr>
        <w:t>Całkowity koszt projektu/inwestycji obejmuje wydatki kwalifikowalne i</w:t>
      </w:r>
      <w:r w:rsidR="00437501">
        <w:rPr>
          <w:rFonts w:ascii="Open Sans" w:hAnsi="Open Sans" w:cs="Open Sans"/>
          <w:sz w:val="22"/>
        </w:rPr>
        <w:t> </w:t>
      </w:r>
      <w:r w:rsidRPr="00074F4B">
        <w:rPr>
          <w:rFonts w:ascii="Open Sans" w:hAnsi="Open Sans" w:cs="Open Sans"/>
          <w:sz w:val="22"/>
        </w:rPr>
        <w:t xml:space="preserve">niekwalifikowalne, o których mowa w </w:t>
      </w:r>
      <w:r w:rsidRPr="00074F4B">
        <w:rPr>
          <w:rFonts w:ascii="Open Sans" w:hAnsi="Open Sans" w:cs="Open Sans"/>
          <w:bCs/>
          <w:i/>
          <w:sz w:val="22"/>
        </w:rPr>
        <w:t>Wytycznych dotyczących zagadnień związanych z</w:t>
      </w:r>
      <w:r w:rsidR="00437501">
        <w:rPr>
          <w:rFonts w:ascii="Open Sans" w:hAnsi="Open Sans" w:cs="Open Sans"/>
          <w:bCs/>
          <w:i/>
          <w:sz w:val="22"/>
        </w:rPr>
        <w:t> </w:t>
      </w:r>
      <w:r w:rsidRPr="00074F4B">
        <w:rPr>
          <w:rFonts w:ascii="Open Sans" w:hAnsi="Open Sans" w:cs="Open Sans"/>
          <w:bCs/>
          <w:i/>
          <w:sz w:val="22"/>
        </w:rPr>
        <w:t>przygotowaniem projektów inwestycyjnych, w tym hybrydowych na lata 2021-2027</w:t>
      </w:r>
      <w:r w:rsidRPr="00541EE1">
        <w:rPr>
          <w:rFonts w:ascii="Open Sans" w:hAnsi="Open Sans" w:cs="Open Sans"/>
          <w:sz w:val="22"/>
        </w:rPr>
        <w:t xml:space="preserve">. </w:t>
      </w:r>
      <w:r w:rsidRPr="00074F4B">
        <w:rPr>
          <w:rFonts w:ascii="Open Sans" w:hAnsi="Open Sans" w:cs="Open Sans"/>
          <w:sz w:val="22"/>
        </w:rPr>
        <w:t>Rezerw na nieprzewidziane wydatki nie uwzględnia się dla potrzeb kalkulacji wskaźników rentowności finansowej i ekonomicznej oraz trwałości finansowej projektu z uwagi na fakt, iż nie stanowią one przepływu środków pieniężnych. W</w:t>
      </w:r>
      <w:r w:rsidR="00437501">
        <w:rPr>
          <w:rFonts w:ascii="Open Sans" w:hAnsi="Open Sans" w:cs="Open Sans"/>
          <w:sz w:val="22"/>
        </w:rPr>
        <w:t> </w:t>
      </w:r>
      <w:r w:rsidRPr="00074F4B">
        <w:rPr>
          <w:rFonts w:ascii="Open Sans" w:hAnsi="Open Sans" w:cs="Open Sans"/>
          <w:sz w:val="22"/>
        </w:rPr>
        <w:t>związku z tym, wartość rezerw na nieprzewidziane wydatki należy prezentować oddzielnie od nakładów inwestycyjnych na realizację projektu.</w:t>
      </w:r>
    </w:p>
    <w:p w14:paraId="662D884C" w14:textId="77777777" w:rsidR="00074F4B" w:rsidRPr="00074F4B" w:rsidRDefault="00074F4B" w:rsidP="00BC0C9B">
      <w:pPr>
        <w:spacing w:after="0" w:line="288" w:lineRule="auto"/>
        <w:ind w:left="0" w:firstLine="0"/>
        <w:contextualSpacing/>
        <w:rPr>
          <w:rFonts w:ascii="Open Sans" w:hAnsi="Open Sans" w:cs="Open Sans"/>
          <w:sz w:val="22"/>
        </w:rPr>
      </w:pPr>
      <w:r w:rsidRPr="00074F4B">
        <w:rPr>
          <w:rFonts w:ascii="Open Sans" w:hAnsi="Open Sans" w:cs="Open Sans"/>
          <w:sz w:val="22"/>
        </w:rPr>
        <w:t>Rezerwa na nieprzewidziane wydatki nie stanowi kosztów operacyjnych. Ponadto niepieniężne pozycje rachunkowe, takie jak rezerwy na nieprzewidziane wydatki, nie mogą być przedmiotem analizy finansowej.</w:t>
      </w:r>
    </w:p>
    <w:p w14:paraId="5B613B9A" w14:textId="77777777" w:rsidR="00074F4B" w:rsidRPr="00074F4B" w:rsidRDefault="00074F4B" w:rsidP="00BC0C9B">
      <w:pPr>
        <w:spacing w:before="120" w:after="0" w:line="288" w:lineRule="auto"/>
        <w:rPr>
          <w:rFonts w:ascii="Open Sans" w:hAnsi="Open Sans" w:cs="Open Sans"/>
          <w:b/>
          <w:bCs/>
          <w:sz w:val="22"/>
        </w:rPr>
      </w:pPr>
      <w:r w:rsidRPr="00074F4B">
        <w:rPr>
          <w:rFonts w:ascii="Open Sans" w:hAnsi="Open Sans" w:cs="Open Sans"/>
          <w:b/>
          <w:bCs/>
          <w:sz w:val="22"/>
        </w:rPr>
        <w:t>V. Dostępność cenowa:</w:t>
      </w:r>
    </w:p>
    <w:p w14:paraId="3C3874C3" w14:textId="5F7C9483" w:rsidR="00074F4B" w:rsidRPr="00074F4B" w:rsidRDefault="00074F4B" w:rsidP="00BC0C9B">
      <w:pPr>
        <w:spacing w:after="0" w:line="288" w:lineRule="auto"/>
        <w:ind w:left="0" w:firstLine="0"/>
        <w:contextualSpacing/>
        <w:rPr>
          <w:rFonts w:ascii="Open Sans" w:hAnsi="Open Sans" w:cs="Open Sans"/>
          <w:sz w:val="22"/>
        </w:rPr>
      </w:pPr>
      <w:r w:rsidRPr="00074F4B">
        <w:rPr>
          <w:rFonts w:ascii="Open Sans" w:hAnsi="Open Sans" w:cs="Open Sans"/>
          <w:sz w:val="22"/>
        </w:rPr>
        <w:t>Należy przyjąć do jednolitego stosowania regulacje dotyczące dostępności cenowej, zgodnie z dokumentem „Metodyka zastosowania kryterium dostępności cenowej w</w:t>
      </w:r>
      <w:r w:rsidR="00E25F4B">
        <w:rPr>
          <w:rFonts w:ascii="Open Sans" w:hAnsi="Open Sans" w:cs="Open Sans"/>
          <w:sz w:val="22"/>
        </w:rPr>
        <w:t> </w:t>
      </w:r>
      <w:r w:rsidRPr="00074F4B">
        <w:rPr>
          <w:rFonts w:ascii="Open Sans" w:hAnsi="Open Sans" w:cs="Open Sans"/>
          <w:sz w:val="22"/>
        </w:rPr>
        <w:t xml:space="preserve">projektach inwestycyjnych z dofinansowaniem UE” dostępnym pod linkiem: </w:t>
      </w:r>
    </w:p>
    <w:p w14:paraId="5CE4334E" w14:textId="6A36F6C9" w:rsidR="00074F4B" w:rsidRPr="00074F4B" w:rsidRDefault="00074F4B" w:rsidP="00BC0C9B">
      <w:pPr>
        <w:spacing w:after="0" w:line="288" w:lineRule="auto"/>
        <w:ind w:left="0" w:firstLine="0"/>
        <w:contextualSpacing/>
        <w:rPr>
          <w:rFonts w:ascii="Open Sans" w:hAnsi="Open Sans" w:cs="Open Sans"/>
          <w:sz w:val="22"/>
        </w:rPr>
      </w:pPr>
      <w:r w:rsidRPr="00074F4B">
        <w:rPr>
          <w:rFonts w:ascii="Open Sans" w:hAnsi="Open Sans" w:cs="Open Sans"/>
          <w:sz w:val="22"/>
        </w:rPr>
        <w:t>(</w:t>
      </w:r>
      <w:hyperlink r:id="rId9" w:history="1">
        <w:r w:rsidRPr="00074F4B">
          <w:rPr>
            <w:rStyle w:val="Hipercze"/>
            <w:rFonts w:ascii="Open Sans" w:hAnsi="Open Sans" w:cs="Open Sans"/>
            <w:sz w:val="22"/>
          </w:rPr>
          <w:t>https://www.funduszeeuropejskie.gov.pl/media/119589/Metodyka-zastosowania-kryterium-dostepnosci-cenowej-w-projektach-inwestycyjnych-z-dofinansowaniem-UE-2.pdf</w:t>
        </w:r>
      </w:hyperlink>
      <w:r w:rsidRPr="00074F4B">
        <w:rPr>
          <w:rFonts w:ascii="Open Sans" w:hAnsi="Open Sans" w:cs="Open Sans"/>
          <w:sz w:val="22"/>
        </w:rPr>
        <w:t>).</w:t>
      </w:r>
    </w:p>
    <w:p w14:paraId="10D3546A" w14:textId="77777777" w:rsidR="00074F4B" w:rsidRPr="00074F4B" w:rsidRDefault="00074F4B" w:rsidP="00BC0C9B">
      <w:pPr>
        <w:spacing w:before="120" w:after="0" w:line="288" w:lineRule="auto"/>
        <w:rPr>
          <w:rFonts w:ascii="Open Sans" w:hAnsi="Open Sans" w:cs="Open Sans"/>
          <w:b/>
          <w:bCs/>
          <w:sz w:val="22"/>
        </w:rPr>
      </w:pPr>
      <w:r w:rsidRPr="00074F4B">
        <w:rPr>
          <w:rFonts w:ascii="Open Sans" w:hAnsi="Open Sans" w:cs="Open Sans"/>
          <w:b/>
          <w:bCs/>
          <w:sz w:val="22"/>
        </w:rPr>
        <w:t>VI. Analiza DGC:</w:t>
      </w:r>
    </w:p>
    <w:p w14:paraId="165A23E1" w14:textId="594E395E" w:rsidR="00074F4B" w:rsidRPr="00074F4B" w:rsidRDefault="00074F4B" w:rsidP="00BC0C9B">
      <w:pPr>
        <w:spacing w:after="0" w:line="288" w:lineRule="auto"/>
        <w:ind w:left="0" w:firstLine="0"/>
        <w:contextualSpacing/>
        <w:rPr>
          <w:rFonts w:ascii="Open Sans" w:hAnsi="Open Sans" w:cs="Open Sans"/>
          <w:sz w:val="22"/>
        </w:rPr>
      </w:pPr>
      <w:r w:rsidRPr="00074F4B">
        <w:rPr>
          <w:rFonts w:ascii="Open Sans" w:hAnsi="Open Sans" w:cs="Open Sans"/>
          <w:sz w:val="22"/>
        </w:rPr>
        <w:t>Należy przyjąć do jednolitego stosowania regulacje dotyczące przeprowadzania analiz efektywności kosztowej zgodnie z dokumentem „Metodyka analizy efektywności kosztowej w oparciu o wskaźnik dynamicznego kosztu jednostkowego (</w:t>
      </w:r>
      <w:proofErr w:type="spellStart"/>
      <w:r w:rsidRPr="00074F4B">
        <w:rPr>
          <w:rFonts w:ascii="Open Sans" w:hAnsi="Open Sans" w:cs="Open Sans"/>
          <w:sz w:val="22"/>
        </w:rPr>
        <w:t>Dynamic</w:t>
      </w:r>
      <w:proofErr w:type="spellEnd"/>
      <w:r w:rsidRPr="00074F4B">
        <w:rPr>
          <w:rFonts w:ascii="Open Sans" w:hAnsi="Open Sans" w:cs="Open Sans"/>
          <w:sz w:val="22"/>
        </w:rPr>
        <w:t xml:space="preserve"> </w:t>
      </w:r>
      <w:proofErr w:type="spellStart"/>
      <w:r w:rsidRPr="00074F4B">
        <w:rPr>
          <w:rFonts w:ascii="Open Sans" w:hAnsi="Open Sans" w:cs="Open Sans"/>
          <w:sz w:val="22"/>
        </w:rPr>
        <w:t>Generation</w:t>
      </w:r>
      <w:proofErr w:type="spellEnd"/>
      <w:r w:rsidRPr="00074F4B">
        <w:rPr>
          <w:rFonts w:ascii="Open Sans" w:hAnsi="Open Sans" w:cs="Open Sans"/>
          <w:sz w:val="22"/>
        </w:rPr>
        <w:t xml:space="preserve"> </w:t>
      </w:r>
      <w:proofErr w:type="spellStart"/>
      <w:r w:rsidRPr="00074F4B">
        <w:rPr>
          <w:rFonts w:ascii="Open Sans" w:hAnsi="Open Sans" w:cs="Open Sans"/>
          <w:sz w:val="22"/>
        </w:rPr>
        <w:t>Cost</w:t>
      </w:r>
      <w:proofErr w:type="spellEnd"/>
      <w:r w:rsidRPr="00074F4B">
        <w:rPr>
          <w:rFonts w:ascii="Open Sans" w:hAnsi="Open Sans" w:cs="Open Sans"/>
          <w:sz w:val="22"/>
        </w:rPr>
        <w:t>)” dostępnym</w:t>
      </w:r>
      <w:r w:rsidR="00014C8A" w:rsidRPr="00541EE1">
        <w:rPr>
          <w:rFonts w:ascii="Open Sans" w:hAnsi="Open Sans" w:cs="Open Sans"/>
          <w:sz w:val="22"/>
        </w:rPr>
        <w:t xml:space="preserve"> j</w:t>
      </w:r>
      <w:r w:rsidR="004B21E1">
        <w:rPr>
          <w:rFonts w:ascii="Open Sans" w:hAnsi="Open Sans" w:cs="Open Sans"/>
          <w:sz w:val="22"/>
        </w:rPr>
        <w:t>ako załącznik nr 3</w:t>
      </w:r>
      <w:r w:rsidR="00014C8A" w:rsidRPr="00541EE1">
        <w:rPr>
          <w:rFonts w:ascii="Open Sans" w:hAnsi="Open Sans" w:cs="Open Sans"/>
          <w:sz w:val="22"/>
        </w:rPr>
        <w:t xml:space="preserve"> do Instrukcji wypełniania wniosku.</w:t>
      </w:r>
    </w:p>
    <w:p w14:paraId="1314994E" w14:textId="77777777" w:rsidR="00074F4B" w:rsidRPr="00074F4B" w:rsidRDefault="00074F4B" w:rsidP="00BC0C9B">
      <w:pPr>
        <w:spacing w:before="120" w:after="0" w:line="288" w:lineRule="auto"/>
        <w:rPr>
          <w:rFonts w:ascii="Open Sans" w:hAnsi="Open Sans" w:cs="Open Sans"/>
          <w:b/>
          <w:bCs/>
          <w:sz w:val="22"/>
        </w:rPr>
      </w:pPr>
      <w:r w:rsidRPr="00074F4B">
        <w:rPr>
          <w:rFonts w:ascii="Open Sans" w:hAnsi="Open Sans" w:cs="Open Sans"/>
          <w:b/>
          <w:bCs/>
          <w:sz w:val="22"/>
        </w:rPr>
        <w:t>VII. Uproszczenia w zależności od wartości kosztów całkowitych projektu.</w:t>
      </w:r>
    </w:p>
    <w:p w14:paraId="1849F84A" w14:textId="77777777" w:rsidR="00074F4B" w:rsidRPr="00074F4B" w:rsidRDefault="00074F4B" w:rsidP="00BC0C9B">
      <w:pPr>
        <w:spacing w:after="0" w:line="288" w:lineRule="auto"/>
        <w:ind w:left="0" w:firstLine="0"/>
        <w:contextualSpacing/>
        <w:rPr>
          <w:rFonts w:ascii="Open Sans" w:hAnsi="Open Sans" w:cs="Open Sans"/>
          <w:sz w:val="22"/>
        </w:rPr>
      </w:pPr>
      <w:r w:rsidRPr="00074F4B">
        <w:rPr>
          <w:rFonts w:ascii="Open Sans" w:hAnsi="Open Sans" w:cs="Open Sans"/>
          <w:sz w:val="22"/>
        </w:rPr>
        <w:t xml:space="preserve">Należy przyjąć do jednolitego stosowania regulacje, że uproszczenia dotyczą projektów o wartości do 50 mln zł kosztów całkowitych projektu, stanowiących sumę wydatków kwalifikowanych i niekwalifikowanych, z zastrzeżeniem, że całkowity koszt projektu zawiera podatek VAT, niezależnie od tego, czy podatek VAT stanowi wydatek kwalifikowalny w danym projekcie. </w:t>
      </w:r>
    </w:p>
    <w:p w14:paraId="68C6F623" w14:textId="77777777" w:rsidR="00074F4B" w:rsidRPr="00074F4B" w:rsidRDefault="00074F4B" w:rsidP="00BC0C9B">
      <w:pPr>
        <w:spacing w:before="120" w:after="0" w:line="288" w:lineRule="auto"/>
        <w:ind w:left="0" w:firstLine="0"/>
        <w:contextualSpacing/>
        <w:rPr>
          <w:rFonts w:ascii="Open Sans" w:hAnsi="Open Sans" w:cs="Open Sans"/>
          <w:sz w:val="22"/>
        </w:rPr>
      </w:pPr>
      <w:r w:rsidRPr="00074F4B">
        <w:rPr>
          <w:rFonts w:ascii="Open Sans" w:hAnsi="Open Sans" w:cs="Open Sans"/>
          <w:sz w:val="22"/>
        </w:rPr>
        <w:t xml:space="preserve">Czyli, w ujęciu finansowym są to koszty brutto (koszt brutto = koszty netto + podatek VAT). </w:t>
      </w:r>
    </w:p>
    <w:p w14:paraId="33DD92F4" w14:textId="77777777" w:rsidR="00074F4B" w:rsidRPr="00074F4B" w:rsidRDefault="00074F4B" w:rsidP="00BC0C9B">
      <w:pPr>
        <w:spacing w:after="0" w:line="288" w:lineRule="auto"/>
        <w:contextualSpacing/>
        <w:rPr>
          <w:rFonts w:ascii="Open Sans" w:hAnsi="Open Sans" w:cs="Open Sans"/>
          <w:sz w:val="22"/>
        </w:rPr>
      </w:pPr>
      <w:r w:rsidRPr="00074F4B">
        <w:rPr>
          <w:rFonts w:ascii="Open Sans" w:hAnsi="Open Sans" w:cs="Open Sans"/>
          <w:sz w:val="22"/>
        </w:rPr>
        <w:t>Wykaz uproszczeń:</w:t>
      </w:r>
    </w:p>
    <w:p w14:paraId="565B663E" w14:textId="77777777" w:rsidR="00074F4B" w:rsidRPr="00074F4B" w:rsidRDefault="00074F4B" w:rsidP="00BC0C9B">
      <w:pPr>
        <w:pStyle w:val="Akapitzlist"/>
        <w:numPr>
          <w:ilvl w:val="0"/>
          <w:numId w:val="49"/>
        </w:numPr>
        <w:spacing w:before="0" w:after="0" w:line="288" w:lineRule="auto"/>
        <w:rPr>
          <w:rFonts w:ascii="Open Sans" w:hAnsi="Open Sans" w:cs="Open Sans"/>
          <w:sz w:val="22"/>
        </w:rPr>
      </w:pPr>
      <w:r w:rsidRPr="00074F4B">
        <w:rPr>
          <w:rFonts w:ascii="Open Sans" w:hAnsi="Open Sans" w:cs="Open Sans"/>
          <w:sz w:val="22"/>
        </w:rPr>
        <w:t xml:space="preserve">brak obowiązku przeprowadzenia pełnej analizy CBA, z zastrzeżeniem, że należy sporządzić analizę CBA w uproszczonej, opisowej formie, </w:t>
      </w:r>
    </w:p>
    <w:p w14:paraId="4E0AA050" w14:textId="7A1313BC" w:rsidR="00074F4B" w:rsidRPr="00C64388" w:rsidRDefault="00074F4B" w:rsidP="00BC0C9B">
      <w:pPr>
        <w:pStyle w:val="Akapitzlist"/>
        <w:numPr>
          <w:ilvl w:val="0"/>
          <w:numId w:val="49"/>
        </w:numPr>
        <w:spacing w:before="0" w:after="0" w:line="288" w:lineRule="auto"/>
        <w:rPr>
          <w:rFonts w:ascii="Open Sans" w:hAnsi="Open Sans" w:cs="Open Sans"/>
          <w:sz w:val="22"/>
        </w:rPr>
      </w:pPr>
      <w:r w:rsidRPr="00074F4B">
        <w:rPr>
          <w:rFonts w:ascii="Open Sans" w:hAnsi="Open Sans" w:cs="Open Sans"/>
          <w:sz w:val="22"/>
        </w:rPr>
        <w:t>brak obowiązku obliczania wskaźników FNPV/K, FRR/K.</w:t>
      </w:r>
    </w:p>
    <w:p w14:paraId="21C09AB3" w14:textId="57A5B9F5" w:rsidR="00342BAC" w:rsidRPr="00074F4B" w:rsidRDefault="00342BAC" w:rsidP="00BC0C9B">
      <w:pPr>
        <w:spacing w:line="288" w:lineRule="auto"/>
        <w:rPr>
          <w:rFonts w:ascii="Open Sans" w:hAnsi="Open Sans" w:cs="Open Sans"/>
          <w:b/>
          <w:sz w:val="22"/>
        </w:rPr>
      </w:pPr>
      <w:r w:rsidRPr="00074F4B">
        <w:rPr>
          <w:rFonts w:ascii="Open Sans" w:hAnsi="Open Sans" w:cs="Open Sans"/>
          <w:b/>
          <w:sz w:val="22"/>
        </w:rPr>
        <w:br w:type="page"/>
      </w:r>
    </w:p>
    <w:p w14:paraId="09B1216A" w14:textId="4574A9E0" w:rsidR="00BE24FF" w:rsidRPr="00074F4B" w:rsidRDefault="00653625" w:rsidP="00BC0C9B">
      <w:pPr>
        <w:pStyle w:val="Nagwek1"/>
        <w:numPr>
          <w:ilvl w:val="0"/>
          <w:numId w:val="0"/>
        </w:numPr>
        <w:spacing w:line="288" w:lineRule="auto"/>
        <w:rPr>
          <w:rFonts w:ascii="Open Sans" w:hAnsi="Open Sans" w:cs="Open Sans"/>
          <w:sz w:val="22"/>
          <w:szCs w:val="22"/>
        </w:rPr>
      </w:pPr>
      <w:r w:rsidRPr="00074F4B">
        <w:rPr>
          <w:rFonts w:ascii="Open Sans" w:hAnsi="Open Sans" w:cs="Open Sans"/>
          <w:sz w:val="22"/>
          <w:szCs w:val="22"/>
        </w:rPr>
        <w:t>DODATKOWE WYJAŚNIENIA</w:t>
      </w:r>
      <w:r w:rsidR="000B6006" w:rsidRPr="00074F4B">
        <w:rPr>
          <w:rFonts w:ascii="Open Sans" w:hAnsi="Open Sans" w:cs="Open Sans"/>
          <w:sz w:val="22"/>
          <w:szCs w:val="22"/>
        </w:rPr>
        <w:t xml:space="preserve"> do wymaganego zakresu Studium Wykonalności</w:t>
      </w:r>
      <w:r w:rsidRPr="00074F4B">
        <w:rPr>
          <w:rFonts w:ascii="Open Sans" w:hAnsi="Open Sans" w:cs="Open Sans"/>
          <w:sz w:val="22"/>
          <w:szCs w:val="22"/>
        </w:rPr>
        <w:t>:</w:t>
      </w:r>
    </w:p>
    <w:p w14:paraId="65114E72" w14:textId="28FBA6B6" w:rsidR="00F7270C" w:rsidRPr="00074F4B" w:rsidRDefault="00BE24FF" w:rsidP="00BC0C9B">
      <w:pPr>
        <w:pStyle w:val="Nagwek1"/>
        <w:numPr>
          <w:ilvl w:val="0"/>
          <w:numId w:val="0"/>
        </w:numPr>
        <w:spacing w:before="480" w:line="288" w:lineRule="auto"/>
        <w:ind w:left="567" w:hanging="567"/>
        <w:rPr>
          <w:rFonts w:ascii="Open Sans" w:hAnsi="Open Sans" w:cs="Open Sans"/>
          <w:bCs/>
          <w:sz w:val="22"/>
          <w:szCs w:val="22"/>
        </w:rPr>
      </w:pPr>
      <w:r w:rsidRPr="00074F4B">
        <w:rPr>
          <w:rFonts w:ascii="Open Sans" w:hAnsi="Open Sans" w:cs="Open Sans"/>
          <w:bCs/>
          <w:sz w:val="22"/>
          <w:szCs w:val="22"/>
        </w:rPr>
        <w:t xml:space="preserve">7.1.1 </w:t>
      </w:r>
      <w:r w:rsidRPr="00074F4B">
        <w:rPr>
          <w:rFonts w:ascii="Open Sans" w:hAnsi="Open Sans" w:cs="Open Sans"/>
          <w:bCs/>
          <w:sz w:val="22"/>
          <w:szCs w:val="22"/>
        </w:rPr>
        <w:fldChar w:fldCharType="begin"/>
      </w:r>
      <w:r w:rsidRPr="00074F4B">
        <w:rPr>
          <w:rFonts w:ascii="Open Sans" w:hAnsi="Open Sans" w:cs="Open Sans"/>
          <w:bCs/>
          <w:sz w:val="22"/>
          <w:szCs w:val="22"/>
        </w:rPr>
        <w:instrText xml:space="preserve"> REF  _Ref146028259  \* MERGEFORMAT </w:instrText>
      </w:r>
      <w:r w:rsidRPr="00074F4B">
        <w:rPr>
          <w:rFonts w:ascii="Open Sans" w:hAnsi="Open Sans" w:cs="Open Sans"/>
          <w:bCs/>
          <w:sz w:val="22"/>
          <w:szCs w:val="22"/>
        </w:rPr>
        <w:fldChar w:fldCharType="separate"/>
      </w:r>
      <w:r w:rsidR="00B7127E" w:rsidRPr="00074F4B">
        <w:rPr>
          <w:rFonts w:ascii="Open Sans" w:hAnsi="Open Sans" w:cs="Open Sans"/>
          <w:sz w:val="22"/>
          <w:szCs w:val="22"/>
        </w:rPr>
        <w:t>Sposób wdrożenia przez projekt celów polityki ochrony środowiska UE, w</w:t>
      </w:r>
      <w:r w:rsidR="00E25F4B">
        <w:rPr>
          <w:rFonts w:ascii="Open Sans" w:hAnsi="Open Sans" w:cs="Open Sans"/>
          <w:sz w:val="22"/>
          <w:szCs w:val="22"/>
        </w:rPr>
        <w:t> </w:t>
      </w:r>
      <w:r w:rsidR="00B7127E" w:rsidRPr="00074F4B">
        <w:rPr>
          <w:rFonts w:ascii="Open Sans" w:hAnsi="Open Sans" w:cs="Open Sans"/>
          <w:sz w:val="22"/>
          <w:szCs w:val="22"/>
        </w:rPr>
        <w:t>tym w zakresie zrównoważonego rozwoju, efektywnej gospodarki zasobami, zachowania bioróżnorodności, zmian klimatu (zmniejszenie emisji gazów cieplarnianych, odporność na skutki zmian klimatu, itp.)</w:t>
      </w:r>
      <w:r w:rsidRPr="00074F4B">
        <w:rPr>
          <w:rFonts w:ascii="Open Sans" w:hAnsi="Open Sans" w:cs="Open Sans"/>
          <w:bCs/>
          <w:sz w:val="22"/>
          <w:szCs w:val="22"/>
        </w:rPr>
        <w:fldChar w:fldCharType="end"/>
      </w:r>
    </w:p>
    <w:p w14:paraId="63FB476D" w14:textId="59376C9B" w:rsidR="00F7270C" w:rsidRPr="00074F4B" w:rsidRDefault="00F7270C" w:rsidP="00BC0C9B">
      <w:pPr>
        <w:spacing w:after="120" w:line="288" w:lineRule="auto"/>
        <w:ind w:left="0" w:firstLine="0"/>
        <w:rPr>
          <w:rFonts w:ascii="Open Sans" w:hAnsi="Open Sans" w:cs="Open Sans"/>
          <w:bCs/>
          <w:sz w:val="22"/>
        </w:rPr>
      </w:pPr>
      <w:r w:rsidRPr="00074F4B">
        <w:rPr>
          <w:rFonts w:ascii="Open Sans" w:hAnsi="Open Sans" w:cs="Open Sans"/>
          <w:bCs/>
          <w:sz w:val="22"/>
        </w:rPr>
        <w:t xml:space="preserve">W analizie należy w syntetyczny sposób odnieść się do zapisów unijnych i krajowych dokumentów programowych, wskazując związek projektu z właściwymi celami, działaniami zapisanymi w przywołanych dokumentach, takich jak: </w:t>
      </w:r>
    </w:p>
    <w:p w14:paraId="39EFFC89" w14:textId="3E4E6401" w:rsidR="00F7270C" w:rsidRPr="00074F4B" w:rsidRDefault="00F7270C" w:rsidP="00BC0C9B">
      <w:pPr>
        <w:pStyle w:val="Akapitzlist"/>
        <w:numPr>
          <w:ilvl w:val="0"/>
          <w:numId w:val="18"/>
        </w:numPr>
        <w:spacing w:before="120" w:after="120" w:line="288" w:lineRule="auto"/>
        <w:ind w:left="714" w:hanging="357"/>
        <w:rPr>
          <w:rFonts w:ascii="Open Sans" w:hAnsi="Open Sans" w:cs="Open Sans"/>
          <w:bCs/>
          <w:sz w:val="22"/>
        </w:rPr>
      </w:pPr>
      <w:r w:rsidRPr="00074F4B">
        <w:rPr>
          <w:rFonts w:ascii="Open Sans" w:hAnsi="Open Sans" w:cs="Open Sans"/>
          <w:bCs/>
          <w:sz w:val="22"/>
        </w:rPr>
        <w:t xml:space="preserve">Europejski Zielony Ład - The </w:t>
      </w:r>
      <w:proofErr w:type="spellStart"/>
      <w:r w:rsidRPr="00074F4B">
        <w:rPr>
          <w:rFonts w:ascii="Open Sans" w:hAnsi="Open Sans" w:cs="Open Sans"/>
          <w:bCs/>
          <w:sz w:val="22"/>
        </w:rPr>
        <w:t>European</w:t>
      </w:r>
      <w:proofErr w:type="spellEnd"/>
      <w:r w:rsidRPr="00074F4B">
        <w:rPr>
          <w:rFonts w:ascii="Open Sans" w:hAnsi="Open Sans" w:cs="Open Sans"/>
          <w:bCs/>
          <w:sz w:val="22"/>
        </w:rPr>
        <w:t xml:space="preserve"> Green Deal i szereg wynikających z</w:t>
      </w:r>
      <w:r w:rsidR="00E25F4B">
        <w:rPr>
          <w:rFonts w:ascii="Open Sans" w:hAnsi="Open Sans" w:cs="Open Sans"/>
          <w:bCs/>
          <w:sz w:val="22"/>
        </w:rPr>
        <w:t> </w:t>
      </w:r>
      <w:r w:rsidRPr="00074F4B">
        <w:rPr>
          <w:rFonts w:ascii="Open Sans" w:hAnsi="Open Sans" w:cs="Open Sans"/>
          <w:bCs/>
          <w:sz w:val="22"/>
        </w:rPr>
        <w:t xml:space="preserve">niego strategii szczegółowych; </w:t>
      </w:r>
    </w:p>
    <w:p w14:paraId="46B7E8BD" w14:textId="1DB1D0F7" w:rsidR="00F7270C" w:rsidRPr="00074F4B" w:rsidRDefault="00F7270C" w:rsidP="00BC0C9B">
      <w:pPr>
        <w:pStyle w:val="Akapitzlist"/>
        <w:numPr>
          <w:ilvl w:val="0"/>
          <w:numId w:val="18"/>
        </w:numPr>
        <w:spacing w:before="120" w:after="120" w:line="288" w:lineRule="auto"/>
        <w:ind w:left="714" w:hanging="357"/>
        <w:rPr>
          <w:rFonts w:ascii="Open Sans" w:hAnsi="Open Sans" w:cs="Open Sans"/>
          <w:bCs/>
          <w:sz w:val="22"/>
        </w:rPr>
      </w:pPr>
      <w:r w:rsidRPr="00074F4B">
        <w:rPr>
          <w:rFonts w:ascii="Open Sans" w:hAnsi="Open Sans" w:cs="Open Sans"/>
          <w:bCs/>
          <w:sz w:val="22"/>
        </w:rPr>
        <w:t xml:space="preserve">Ósmy program działań w zakresie środowiska do 2030 r. – 8. EAP; </w:t>
      </w:r>
    </w:p>
    <w:p w14:paraId="186873C1" w14:textId="25944141" w:rsidR="00F7270C" w:rsidRPr="00074F4B" w:rsidRDefault="00F7270C" w:rsidP="00BC0C9B">
      <w:pPr>
        <w:pStyle w:val="Akapitzlist"/>
        <w:numPr>
          <w:ilvl w:val="0"/>
          <w:numId w:val="18"/>
        </w:numPr>
        <w:spacing w:before="120" w:after="120" w:line="288" w:lineRule="auto"/>
        <w:ind w:left="714" w:hanging="357"/>
        <w:rPr>
          <w:rFonts w:ascii="Open Sans" w:hAnsi="Open Sans" w:cs="Open Sans"/>
          <w:bCs/>
          <w:sz w:val="22"/>
        </w:rPr>
      </w:pPr>
      <w:r w:rsidRPr="00074F4B">
        <w:rPr>
          <w:rFonts w:ascii="Open Sans" w:hAnsi="Open Sans" w:cs="Open Sans"/>
          <w:bCs/>
          <w:sz w:val="22"/>
        </w:rPr>
        <w:t>Agenda na rzecz zrównoważonego rozwoju 2030;</w:t>
      </w:r>
    </w:p>
    <w:p w14:paraId="7A2D6576" w14:textId="3E07BB82" w:rsidR="00F7270C" w:rsidRPr="00074F4B" w:rsidRDefault="00F7270C" w:rsidP="00BC0C9B">
      <w:pPr>
        <w:pStyle w:val="Akapitzlist"/>
        <w:numPr>
          <w:ilvl w:val="0"/>
          <w:numId w:val="18"/>
        </w:numPr>
        <w:spacing w:before="120" w:after="120" w:line="288" w:lineRule="auto"/>
        <w:ind w:left="714" w:hanging="357"/>
        <w:rPr>
          <w:rFonts w:ascii="Open Sans" w:hAnsi="Open Sans" w:cs="Open Sans"/>
          <w:bCs/>
          <w:sz w:val="22"/>
        </w:rPr>
      </w:pPr>
      <w:r w:rsidRPr="00074F4B">
        <w:rPr>
          <w:rFonts w:ascii="Open Sans" w:hAnsi="Open Sans" w:cs="Open Sans"/>
          <w:bCs/>
          <w:sz w:val="22"/>
        </w:rPr>
        <w:t>Paryskie Porozumienie Klimatyczne;</w:t>
      </w:r>
    </w:p>
    <w:p w14:paraId="3A9A6278" w14:textId="605F5134" w:rsidR="00F7270C" w:rsidRPr="00074F4B" w:rsidRDefault="00F7270C" w:rsidP="00BC0C9B">
      <w:pPr>
        <w:pStyle w:val="Akapitzlist"/>
        <w:numPr>
          <w:ilvl w:val="0"/>
          <w:numId w:val="18"/>
        </w:numPr>
        <w:spacing w:before="120" w:after="120" w:line="288" w:lineRule="auto"/>
        <w:ind w:left="714" w:hanging="357"/>
        <w:rPr>
          <w:rFonts w:ascii="Open Sans" w:hAnsi="Open Sans" w:cs="Open Sans"/>
          <w:bCs/>
          <w:sz w:val="22"/>
        </w:rPr>
      </w:pPr>
      <w:r w:rsidRPr="00074F4B">
        <w:rPr>
          <w:rFonts w:ascii="Open Sans" w:hAnsi="Open Sans" w:cs="Open Sans"/>
          <w:bCs/>
          <w:sz w:val="22"/>
        </w:rPr>
        <w:t>Polityka ekologiczna państwa 2030 – strategia rozwoju w obszarze środowiska i</w:t>
      </w:r>
      <w:r w:rsidR="00E25F4B">
        <w:rPr>
          <w:rFonts w:ascii="Open Sans" w:hAnsi="Open Sans" w:cs="Open Sans"/>
          <w:bCs/>
          <w:sz w:val="22"/>
        </w:rPr>
        <w:t> </w:t>
      </w:r>
      <w:r w:rsidRPr="00074F4B">
        <w:rPr>
          <w:rFonts w:ascii="Open Sans" w:hAnsi="Open Sans" w:cs="Open Sans"/>
          <w:bCs/>
          <w:sz w:val="22"/>
        </w:rPr>
        <w:t>gospodarki wodnej;</w:t>
      </w:r>
    </w:p>
    <w:p w14:paraId="4FC06026" w14:textId="51985E1A" w:rsidR="00F7270C" w:rsidRPr="00074F4B" w:rsidRDefault="00BE24FF" w:rsidP="00BC0C9B">
      <w:pPr>
        <w:pStyle w:val="Akapitzlist"/>
        <w:numPr>
          <w:ilvl w:val="0"/>
          <w:numId w:val="18"/>
        </w:numPr>
        <w:spacing w:before="120" w:after="120" w:line="288" w:lineRule="auto"/>
        <w:ind w:left="714" w:hanging="357"/>
        <w:rPr>
          <w:rFonts w:ascii="Open Sans" w:hAnsi="Open Sans" w:cs="Open Sans"/>
          <w:bCs/>
          <w:sz w:val="22"/>
        </w:rPr>
      </w:pPr>
      <w:r w:rsidRPr="00074F4B">
        <w:rPr>
          <w:rFonts w:ascii="Open Sans" w:hAnsi="Open Sans" w:cs="Open Sans"/>
          <w:bCs/>
          <w:sz w:val="22"/>
        </w:rPr>
        <w:t>S</w:t>
      </w:r>
      <w:r w:rsidR="00F7270C" w:rsidRPr="00074F4B">
        <w:rPr>
          <w:rFonts w:ascii="Open Sans" w:hAnsi="Open Sans" w:cs="Open Sans"/>
          <w:bCs/>
          <w:sz w:val="22"/>
        </w:rPr>
        <w:t>trategia na rzecz Odpowiedzialnego Rozwoju (SOR);</w:t>
      </w:r>
    </w:p>
    <w:p w14:paraId="22356161" w14:textId="43BB25BC" w:rsidR="00F7270C" w:rsidRPr="00074F4B" w:rsidRDefault="00F7270C" w:rsidP="00BC0C9B">
      <w:pPr>
        <w:pStyle w:val="Akapitzlist"/>
        <w:numPr>
          <w:ilvl w:val="0"/>
          <w:numId w:val="18"/>
        </w:numPr>
        <w:spacing w:before="120" w:after="120" w:line="288" w:lineRule="auto"/>
        <w:ind w:left="714" w:hanging="357"/>
        <w:rPr>
          <w:rFonts w:ascii="Open Sans" w:hAnsi="Open Sans" w:cs="Open Sans"/>
          <w:bCs/>
          <w:sz w:val="22"/>
        </w:rPr>
      </w:pPr>
      <w:r w:rsidRPr="00074F4B">
        <w:rPr>
          <w:rFonts w:ascii="Open Sans" w:hAnsi="Open Sans" w:cs="Open Sans"/>
          <w:bCs/>
          <w:sz w:val="22"/>
        </w:rPr>
        <w:t>Krajowa Strategia Rozwoju Regionalnego 2030</w:t>
      </w:r>
      <w:r w:rsidR="00E25F4B">
        <w:rPr>
          <w:rFonts w:ascii="Open Sans" w:hAnsi="Open Sans" w:cs="Open Sans"/>
          <w:bCs/>
          <w:sz w:val="22"/>
        </w:rPr>
        <w:t>,</w:t>
      </w:r>
    </w:p>
    <w:p w14:paraId="74E59C54" w14:textId="7DA38212"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oraz do innych powiązanych z nimi dokumentów międzynarodowych, strategii i</w:t>
      </w:r>
      <w:r w:rsidR="00E25F4B">
        <w:rPr>
          <w:rFonts w:ascii="Open Sans" w:hAnsi="Open Sans" w:cs="Open Sans"/>
          <w:bCs/>
          <w:sz w:val="22"/>
        </w:rPr>
        <w:t> </w:t>
      </w:r>
      <w:r w:rsidRPr="00074F4B">
        <w:rPr>
          <w:rFonts w:ascii="Open Sans" w:hAnsi="Open Sans" w:cs="Open Sans"/>
          <w:bCs/>
          <w:sz w:val="22"/>
        </w:rPr>
        <w:t>programów, jak np. Konwencja o ochronie środowiska morskiego obszaru Morza Bałtyckiego, 1992; Krajowy program ochrony Wód Morskich</w:t>
      </w:r>
      <w:r w:rsidR="00E25F4B">
        <w:rPr>
          <w:rFonts w:ascii="Open Sans" w:hAnsi="Open Sans" w:cs="Open Sans"/>
          <w:bCs/>
          <w:sz w:val="22"/>
        </w:rPr>
        <w:t>.</w:t>
      </w:r>
    </w:p>
    <w:p w14:paraId="1449FABB" w14:textId="47C9E94A" w:rsidR="00F7270C" w:rsidRPr="00074F4B" w:rsidRDefault="00F7270C" w:rsidP="00BC0C9B">
      <w:pPr>
        <w:pStyle w:val="Nagwek1"/>
        <w:numPr>
          <w:ilvl w:val="0"/>
          <w:numId w:val="0"/>
        </w:numPr>
        <w:spacing w:before="480" w:line="288" w:lineRule="auto"/>
        <w:rPr>
          <w:rFonts w:ascii="Open Sans" w:hAnsi="Open Sans" w:cs="Open Sans"/>
          <w:sz w:val="22"/>
          <w:szCs w:val="22"/>
        </w:rPr>
      </w:pPr>
      <w:r w:rsidRPr="00074F4B">
        <w:rPr>
          <w:rFonts w:ascii="Open Sans" w:hAnsi="Open Sans" w:cs="Open Sans"/>
          <w:sz w:val="22"/>
          <w:szCs w:val="22"/>
        </w:rPr>
        <w:t xml:space="preserve">7.1.2. Zgodność projektu z zasadą „nie czyń poważnych szkód” środowisku </w:t>
      </w:r>
      <w:r w:rsidR="00DA1D9D" w:rsidRPr="00074F4B">
        <w:rPr>
          <w:rFonts w:ascii="Open Sans" w:hAnsi="Open Sans" w:cs="Open Sans"/>
          <w:sz w:val="22"/>
          <w:szCs w:val="22"/>
        </w:rPr>
        <w:t>ang.</w:t>
      </w:r>
      <w:r w:rsidRPr="00074F4B">
        <w:rPr>
          <w:rFonts w:ascii="Open Sans" w:hAnsi="Open Sans" w:cs="Open Sans"/>
          <w:sz w:val="22"/>
          <w:szCs w:val="22"/>
        </w:rPr>
        <w:t xml:space="preserve"> do no </w:t>
      </w:r>
      <w:proofErr w:type="spellStart"/>
      <w:r w:rsidRPr="00074F4B">
        <w:rPr>
          <w:rFonts w:ascii="Open Sans" w:hAnsi="Open Sans" w:cs="Open Sans"/>
          <w:sz w:val="22"/>
          <w:szCs w:val="22"/>
        </w:rPr>
        <w:t>significant</w:t>
      </w:r>
      <w:proofErr w:type="spellEnd"/>
      <w:r w:rsidRPr="00074F4B">
        <w:rPr>
          <w:rFonts w:ascii="Open Sans" w:hAnsi="Open Sans" w:cs="Open Sans"/>
          <w:sz w:val="22"/>
          <w:szCs w:val="22"/>
        </w:rPr>
        <w:t xml:space="preserve"> </w:t>
      </w:r>
      <w:proofErr w:type="spellStart"/>
      <w:r w:rsidRPr="00074F4B">
        <w:rPr>
          <w:rFonts w:ascii="Open Sans" w:hAnsi="Open Sans" w:cs="Open Sans"/>
          <w:sz w:val="22"/>
          <w:szCs w:val="22"/>
        </w:rPr>
        <w:t>harm</w:t>
      </w:r>
      <w:proofErr w:type="spellEnd"/>
      <w:r w:rsidRPr="00074F4B">
        <w:rPr>
          <w:rFonts w:ascii="Open Sans" w:hAnsi="Open Sans" w:cs="Open Sans"/>
          <w:sz w:val="22"/>
          <w:szCs w:val="22"/>
        </w:rPr>
        <w:t xml:space="preserve"> (DNSH).</w:t>
      </w:r>
    </w:p>
    <w:p w14:paraId="02D1B658" w14:textId="36D0A4E3" w:rsidR="00FA06AF" w:rsidRPr="00074F4B" w:rsidRDefault="00F7270C" w:rsidP="00BC0C9B">
      <w:pPr>
        <w:spacing w:after="120" w:line="288" w:lineRule="auto"/>
        <w:ind w:left="0" w:firstLine="0"/>
        <w:rPr>
          <w:rFonts w:ascii="Open Sans" w:hAnsi="Open Sans" w:cs="Open Sans"/>
          <w:bCs/>
          <w:sz w:val="22"/>
        </w:rPr>
      </w:pPr>
      <w:r w:rsidRPr="00074F4B">
        <w:rPr>
          <w:rFonts w:ascii="Open Sans" w:hAnsi="Open Sans" w:cs="Open Sans"/>
          <w:bCs/>
          <w:sz w:val="22"/>
        </w:rPr>
        <w:t>Sposób podejścia do klasyfikacji poszczególnych działań, środków bądź projektów z</w:t>
      </w:r>
      <w:r w:rsidR="000A654B">
        <w:rPr>
          <w:rFonts w:ascii="Open Sans" w:hAnsi="Open Sans" w:cs="Open Sans"/>
          <w:bCs/>
          <w:sz w:val="22"/>
        </w:rPr>
        <w:t> </w:t>
      </w:r>
      <w:r w:rsidRPr="00074F4B">
        <w:rPr>
          <w:rFonts w:ascii="Open Sans" w:hAnsi="Open Sans" w:cs="Open Sans"/>
          <w:bCs/>
          <w:sz w:val="22"/>
        </w:rPr>
        <w:t>punktu widzenia realizacji zasady DNSH, został jednoznacznie wskazany w</w:t>
      </w:r>
      <w:r w:rsidR="000A654B">
        <w:rPr>
          <w:rFonts w:ascii="Open Sans" w:hAnsi="Open Sans" w:cs="Open Sans"/>
          <w:bCs/>
          <w:sz w:val="22"/>
        </w:rPr>
        <w:t> </w:t>
      </w:r>
      <w:r w:rsidRPr="00074F4B">
        <w:rPr>
          <w:rFonts w:ascii="Open Sans" w:hAnsi="Open Sans" w:cs="Open Sans"/>
          <w:bCs/>
          <w:sz w:val="22"/>
        </w:rPr>
        <w:t>Wytycznych technicznych Komisji Europejskiej dotyczących stosowania zasady DNSH (</w:t>
      </w:r>
      <w:hyperlink r:id="rId10" w:history="1">
        <w:r w:rsidRPr="00074F4B">
          <w:rPr>
            <w:rStyle w:val="Hipercze"/>
            <w:rFonts w:ascii="Open Sans" w:hAnsi="Open Sans" w:cs="Open Sans"/>
            <w:bCs/>
            <w:sz w:val="22"/>
          </w:rPr>
          <w:t>https://eur-lex.europa.eu/legal-content/PL/TXT/PDF/?uri=CELEX%3A52021XC0218%2801%29&amp;from=EN</w:t>
        </w:r>
      </w:hyperlink>
      <w:r w:rsidRPr="00074F4B">
        <w:rPr>
          <w:rFonts w:ascii="Open Sans" w:hAnsi="Open Sans" w:cs="Open Sans"/>
          <w:bCs/>
          <w:sz w:val="22"/>
        </w:rPr>
        <w:t>)</w:t>
      </w:r>
      <w:r w:rsidR="000A654B">
        <w:rPr>
          <w:rFonts w:ascii="Open Sans" w:hAnsi="Open Sans" w:cs="Open Sans"/>
          <w:bCs/>
          <w:sz w:val="22"/>
        </w:rPr>
        <w:t>.</w:t>
      </w:r>
    </w:p>
    <w:p w14:paraId="752485F0" w14:textId="7D527B24" w:rsidR="00F7270C" w:rsidRPr="00074F4B" w:rsidRDefault="00F7270C" w:rsidP="00BC0C9B">
      <w:pPr>
        <w:spacing w:after="120" w:line="288" w:lineRule="auto"/>
        <w:ind w:left="0" w:firstLine="0"/>
        <w:rPr>
          <w:rFonts w:ascii="Open Sans" w:hAnsi="Open Sans" w:cs="Open Sans"/>
          <w:bCs/>
          <w:sz w:val="22"/>
        </w:rPr>
      </w:pPr>
      <w:r w:rsidRPr="00074F4B">
        <w:rPr>
          <w:rFonts w:ascii="Open Sans" w:hAnsi="Open Sans" w:cs="Open Sans"/>
          <w:bCs/>
          <w:sz w:val="22"/>
        </w:rPr>
        <w:t>Analiza zgodności z zasadą DNSH powinna zostać przeprowadzona zgodnie z</w:t>
      </w:r>
      <w:r w:rsidR="000A654B">
        <w:rPr>
          <w:rFonts w:ascii="Open Sans" w:hAnsi="Open Sans" w:cs="Open Sans"/>
          <w:bCs/>
          <w:sz w:val="22"/>
        </w:rPr>
        <w:t> </w:t>
      </w:r>
      <w:r w:rsidRPr="00074F4B">
        <w:rPr>
          <w:rFonts w:ascii="Open Sans" w:hAnsi="Open Sans" w:cs="Open Sans"/>
          <w:bCs/>
          <w:sz w:val="22"/>
        </w:rPr>
        <w:t>wytycznymi zawartymi w podręczniku „Zgodność przedsięwzięć finansowanych ze środków Unii Europejskiej, w tym realizowanych w ramach Krajowego Planu Odbudowy i Zwiększania Odporności, z zasadą „nie czyń znaczącej szkody” - zasadą DNSH</w:t>
      </w:r>
      <w:r w:rsidR="00DA1D9D" w:rsidRPr="00074F4B">
        <w:rPr>
          <w:rFonts w:ascii="Open Sans" w:hAnsi="Open Sans" w:cs="Open Sans"/>
          <w:bCs/>
          <w:sz w:val="22"/>
        </w:rPr>
        <w:t xml:space="preserve"> </w:t>
      </w:r>
      <w:r w:rsidRPr="00074F4B">
        <w:rPr>
          <w:rFonts w:ascii="Open Sans" w:hAnsi="Open Sans" w:cs="Open Sans"/>
          <w:bCs/>
          <w:sz w:val="22"/>
        </w:rPr>
        <w:t>- Podręcznik dla Beneficjenta”</w:t>
      </w:r>
      <w:r w:rsidR="000A654B">
        <w:rPr>
          <w:rFonts w:ascii="Open Sans" w:hAnsi="Open Sans" w:cs="Open Sans"/>
          <w:bCs/>
          <w:sz w:val="22"/>
        </w:rPr>
        <w:t xml:space="preserve"> </w:t>
      </w:r>
      <w:r w:rsidRPr="00074F4B">
        <w:rPr>
          <w:rFonts w:ascii="Open Sans" w:hAnsi="Open Sans" w:cs="Open Sans"/>
          <w:bCs/>
          <w:sz w:val="22"/>
        </w:rPr>
        <w:t>(</w:t>
      </w:r>
      <w:hyperlink r:id="rId11" w:history="1">
        <w:r w:rsidRPr="00074F4B">
          <w:rPr>
            <w:rStyle w:val="Hipercze"/>
            <w:rFonts w:ascii="Open Sans" w:hAnsi="Open Sans" w:cs="Open Sans"/>
            <w:bCs/>
            <w:sz w:val="22"/>
          </w:rPr>
          <w:t>https://www.gov.pl/web/planodbudowy/dnsh2</w:t>
        </w:r>
      </w:hyperlink>
      <w:r w:rsidRPr="00074F4B">
        <w:rPr>
          <w:rFonts w:ascii="Open Sans" w:hAnsi="Open Sans" w:cs="Open Sans"/>
          <w:bCs/>
          <w:sz w:val="22"/>
        </w:rPr>
        <w:t>)  zarówno dla działań związanych z etapem realizacji projektu, jak i etapem jego eksploatacji</w:t>
      </w:r>
      <w:r w:rsidR="00DA1D9D" w:rsidRPr="00074F4B">
        <w:rPr>
          <w:rFonts w:ascii="Open Sans" w:hAnsi="Open Sans" w:cs="Open Sans"/>
          <w:bCs/>
          <w:sz w:val="22"/>
        </w:rPr>
        <w:t>.</w:t>
      </w:r>
    </w:p>
    <w:p w14:paraId="15333643" w14:textId="77777777" w:rsidR="00F7270C" w:rsidRPr="00074F4B" w:rsidRDefault="00F7270C" w:rsidP="00BC0C9B">
      <w:pPr>
        <w:spacing w:before="120" w:after="120" w:line="288" w:lineRule="auto"/>
        <w:ind w:left="0" w:firstLine="0"/>
        <w:contextualSpacing/>
        <w:rPr>
          <w:rFonts w:ascii="Open Sans" w:hAnsi="Open Sans" w:cs="Open Sans"/>
          <w:bCs/>
          <w:sz w:val="22"/>
        </w:rPr>
      </w:pPr>
      <w:r w:rsidRPr="00074F4B">
        <w:rPr>
          <w:rFonts w:ascii="Open Sans" w:hAnsi="Open Sans" w:cs="Open Sans"/>
          <w:bCs/>
          <w:sz w:val="22"/>
        </w:rPr>
        <w:t xml:space="preserve">Odniesienia do DNSH znajdują się w: </w:t>
      </w:r>
    </w:p>
    <w:p w14:paraId="68B5555F" w14:textId="6FA8A6F3" w:rsidR="00F7270C" w:rsidRPr="00074F4B" w:rsidRDefault="00000000" w:rsidP="00BC0C9B">
      <w:pPr>
        <w:spacing w:before="120" w:after="120" w:line="288" w:lineRule="auto"/>
        <w:ind w:left="0" w:firstLine="0"/>
        <w:contextualSpacing/>
        <w:rPr>
          <w:rFonts w:ascii="Open Sans" w:hAnsi="Open Sans" w:cs="Open Sans"/>
          <w:bCs/>
          <w:sz w:val="22"/>
        </w:rPr>
      </w:pPr>
      <w:hyperlink r:id="rId12" w:history="1">
        <w:r w:rsidR="00F7270C" w:rsidRPr="00074F4B">
          <w:rPr>
            <w:rStyle w:val="Hipercze"/>
            <w:rFonts w:ascii="Open Sans" w:hAnsi="Open Sans" w:cs="Open Sans"/>
            <w:bCs/>
            <w:sz w:val="22"/>
          </w:rPr>
          <w:t>https://www.pois.gov.pl/media/108045/ocena_DNSH_FEnIKS_2021-2027.pdf</w:t>
        </w:r>
      </w:hyperlink>
    </w:p>
    <w:p w14:paraId="09C99746" w14:textId="77777777" w:rsidR="00F7270C" w:rsidRPr="00074F4B" w:rsidRDefault="00F7270C" w:rsidP="00BC0C9B">
      <w:pPr>
        <w:spacing w:before="120" w:after="120" w:line="288" w:lineRule="auto"/>
        <w:ind w:left="0" w:firstLine="0"/>
        <w:rPr>
          <w:rFonts w:ascii="Open Sans" w:hAnsi="Open Sans" w:cs="Open Sans"/>
          <w:bCs/>
          <w:sz w:val="22"/>
        </w:rPr>
      </w:pPr>
    </w:p>
    <w:p w14:paraId="0F98FDB9" w14:textId="77777777" w:rsidR="00F7270C" w:rsidRPr="00074F4B" w:rsidRDefault="00F7270C" w:rsidP="00BC0C9B">
      <w:pPr>
        <w:spacing w:before="120" w:after="120" w:line="288" w:lineRule="auto"/>
        <w:ind w:left="0" w:firstLine="0"/>
        <w:rPr>
          <w:rFonts w:ascii="Open Sans" w:hAnsi="Open Sans" w:cs="Open Sans"/>
          <w:bCs/>
          <w:sz w:val="22"/>
        </w:rPr>
      </w:pPr>
    </w:p>
    <w:p w14:paraId="6F135D3E" w14:textId="69922EC2" w:rsidR="00F7270C" w:rsidRPr="00074F4B" w:rsidRDefault="00F7270C" w:rsidP="00BC0C9B">
      <w:pPr>
        <w:pStyle w:val="Nagwek1"/>
        <w:numPr>
          <w:ilvl w:val="0"/>
          <w:numId w:val="0"/>
        </w:numPr>
        <w:spacing w:line="288" w:lineRule="auto"/>
        <w:rPr>
          <w:rFonts w:ascii="Open Sans" w:hAnsi="Open Sans" w:cs="Open Sans"/>
          <w:sz w:val="22"/>
          <w:szCs w:val="22"/>
        </w:rPr>
      </w:pPr>
      <w:r w:rsidRPr="00074F4B">
        <w:rPr>
          <w:rFonts w:ascii="Open Sans" w:hAnsi="Open Sans" w:cs="Open Sans"/>
          <w:sz w:val="22"/>
          <w:szCs w:val="22"/>
        </w:rPr>
        <w:t>7.1.3. Sposób wdrożenia przez projekt zasady ostrożności, zasady działania zapobiegawczego, zasady naprawiania szkody w pierwszym rzędzie u źródła, zasady zanieczyszczający płaci.</w:t>
      </w:r>
    </w:p>
    <w:p w14:paraId="54ED01BE" w14:textId="77777777" w:rsidR="00F7270C" w:rsidRPr="00074F4B" w:rsidRDefault="00F7270C" w:rsidP="00BC0C9B">
      <w:pPr>
        <w:spacing w:after="120" w:line="288" w:lineRule="auto"/>
        <w:ind w:left="0" w:firstLine="0"/>
        <w:rPr>
          <w:rFonts w:ascii="Open Sans" w:hAnsi="Open Sans" w:cs="Open Sans"/>
          <w:bCs/>
          <w:sz w:val="22"/>
        </w:rPr>
      </w:pPr>
      <w:r w:rsidRPr="00074F4B">
        <w:rPr>
          <w:rFonts w:ascii="Open Sans" w:hAnsi="Open Sans" w:cs="Open Sans"/>
          <w:bCs/>
          <w:sz w:val="22"/>
        </w:rPr>
        <w:t>Należy wykazać, że projekt został przygotowany z zachowaniem zasad:</w:t>
      </w:r>
    </w:p>
    <w:p w14:paraId="2368B75B" w14:textId="50F048CC" w:rsidR="00F7270C" w:rsidRPr="00074F4B" w:rsidRDefault="00F7270C" w:rsidP="00BC0C9B">
      <w:pPr>
        <w:pStyle w:val="Akapitzlist"/>
        <w:numPr>
          <w:ilvl w:val="0"/>
          <w:numId w:val="19"/>
        </w:numPr>
        <w:spacing w:before="120" w:after="120" w:line="288" w:lineRule="auto"/>
        <w:ind w:left="714" w:hanging="357"/>
        <w:rPr>
          <w:rFonts w:ascii="Open Sans" w:hAnsi="Open Sans" w:cs="Open Sans"/>
          <w:bCs/>
          <w:sz w:val="22"/>
        </w:rPr>
      </w:pPr>
      <w:r w:rsidRPr="00074F4B">
        <w:rPr>
          <w:rFonts w:ascii="Open Sans" w:hAnsi="Open Sans" w:cs="Open Sans"/>
          <w:bCs/>
          <w:sz w:val="22"/>
        </w:rPr>
        <w:t>ostrożności;</w:t>
      </w:r>
    </w:p>
    <w:p w14:paraId="034EF607" w14:textId="6C02299C" w:rsidR="00F7270C" w:rsidRPr="00074F4B" w:rsidRDefault="00F7270C" w:rsidP="00BC0C9B">
      <w:pPr>
        <w:pStyle w:val="Akapitzlist"/>
        <w:numPr>
          <w:ilvl w:val="0"/>
          <w:numId w:val="19"/>
        </w:numPr>
        <w:spacing w:before="120" w:after="120" w:line="288" w:lineRule="auto"/>
        <w:ind w:left="714" w:hanging="357"/>
        <w:rPr>
          <w:rFonts w:ascii="Open Sans" w:hAnsi="Open Sans" w:cs="Open Sans"/>
          <w:bCs/>
          <w:sz w:val="22"/>
        </w:rPr>
      </w:pPr>
      <w:r w:rsidRPr="00074F4B">
        <w:rPr>
          <w:rFonts w:ascii="Open Sans" w:hAnsi="Open Sans" w:cs="Open Sans"/>
          <w:bCs/>
          <w:sz w:val="22"/>
        </w:rPr>
        <w:t>działania zapobiegawczego;</w:t>
      </w:r>
    </w:p>
    <w:p w14:paraId="3E535C5B" w14:textId="77777777" w:rsidR="00DA1D9D" w:rsidRPr="00074F4B" w:rsidRDefault="00F7270C" w:rsidP="00BC0C9B">
      <w:pPr>
        <w:pStyle w:val="Akapitzlist"/>
        <w:numPr>
          <w:ilvl w:val="0"/>
          <w:numId w:val="19"/>
        </w:numPr>
        <w:spacing w:before="120" w:after="120" w:line="288" w:lineRule="auto"/>
        <w:ind w:left="714" w:hanging="357"/>
        <w:rPr>
          <w:rFonts w:ascii="Open Sans" w:hAnsi="Open Sans" w:cs="Open Sans"/>
          <w:bCs/>
          <w:sz w:val="22"/>
        </w:rPr>
      </w:pPr>
      <w:r w:rsidRPr="00074F4B">
        <w:rPr>
          <w:rFonts w:ascii="Open Sans" w:hAnsi="Open Sans" w:cs="Open Sans"/>
          <w:bCs/>
          <w:sz w:val="22"/>
        </w:rPr>
        <w:t>naprawiania szkody w pierwszym rzędzie u źródła;</w:t>
      </w:r>
    </w:p>
    <w:p w14:paraId="6993A731" w14:textId="48F3716E" w:rsidR="00F7270C" w:rsidRPr="00074F4B" w:rsidRDefault="00F7270C" w:rsidP="00BC0C9B">
      <w:pPr>
        <w:pStyle w:val="Akapitzlist"/>
        <w:numPr>
          <w:ilvl w:val="0"/>
          <w:numId w:val="19"/>
        </w:numPr>
        <w:spacing w:before="120" w:after="120" w:line="288" w:lineRule="auto"/>
        <w:ind w:left="714" w:hanging="357"/>
        <w:rPr>
          <w:rFonts w:ascii="Open Sans" w:hAnsi="Open Sans" w:cs="Open Sans"/>
          <w:bCs/>
          <w:sz w:val="22"/>
        </w:rPr>
      </w:pPr>
      <w:r w:rsidRPr="00074F4B">
        <w:rPr>
          <w:rFonts w:ascii="Open Sans" w:hAnsi="Open Sans" w:cs="Open Sans"/>
          <w:bCs/>
          <w:sz w:val="22"/>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60820504" w14:textId="58974EB6"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 xml:space="preserve">Zasady: ostrożności, działania zapobiegawczego, naprawiania szkody w pierwszym rzędzie u źródła i zanieczyszczający płaci, są ogólnymi zasadami wynikającymi z art. 191 ust 1 Traktatu o funkcjonowaniu Unii Europejskiej. Ogólny opis ww. zasad znajduje się na poniższej stronie resortu środowiska: </w:t>
      </w:r>
      <w:hyperlink r:id="rId13" w:history="1">
        <w:r w:rsidR="00D62CBF" w:rsidRPr="00074F4B">
          <w:rPr>
            <w:rStyle w:val="Hipercze"/>
            <w:rFonts w:ascii="Open Sans" w:hAnsi="Open Sans" w:cs="Open Sans"/>
            <w:bCs/>
            <w:sz w:val="22"/>
          </w:rPr>
          <w:t>http://archiwum.ekoportal.gov.pl/prawo_dokumenty_strategiczne/PolitykaOchronySrodowiskaUE/CeleZasadyPrawoOchronySrodUE.html</w:t>
        </w:r>
      </w:hyperlink>
      <w:r w:rsidR="000A654B" w:rsidRPr="00541EE1">
        <w:rPr>
          <w:rStyle w:val="Hipercze"/>
          <w:rFonts w:ascii="Open Sans" w:hAnsi="Open Sans" w:cs="Open Sans"/>
          <w:bCs/>
          <w:color w:val="000000" w:themeColor="text1"/>
          <w:sz w:val="22"/>
          <w:u w:val="none"/>
        </w:rPr>
        <w:t>.</w:t>
      </w:r>
    </w:p>
    <w:p w14:paraId="6E82EF84" w14:textId="71D32A36"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Wytyczne dotyczące sposobu stosowania zasady ostrożności przygotowane zostały przez Komisję Europejską i opublikowane w formie komunikatu z dnia 2 lutego 2000 roku:</w:t>
      </w:r>
      <w:r w:rsidR="00DA1D9D" w:rsidRPr="00074F4B">
        <w:rPr>
          <w:rFonts w:ascii="Open Sans" w:hAnsi="Open Sans" w:cs="Open Sans"/>
          <w:bCs/>
          <w:sz w:val="22"/>
        </w:rPr>
        <w:t xml:space="preserve"> </w:t>
      </w:r>
      <w:hyperlink r:id="rId14" w:history="1">
        <w:r w:rsidRPr="00074F4B">
          <w:rPr>
            <w:rStyle w:val="Hipercze"/>
            <w:rFonts w:ascii="Open Sans" w:hAnsi="Open Sans" w:cs="Open Sans"/>
            <w:bCs/>
            <w:sz w:val="22"/>
          </w:rPr>
          <w:t>http://eur-lex.europa.eu/legal-content/PL/TXT/?uri=celex:52000DC0001</w:t>
        </w:r>
      </w:hyperlink>
      <w:r w:rsidR="000A654B" w:rsidRPr="00541EE1">
        <w:rPr>
          <w:rStyle w:val="Hipercze"/>
          <w:rFonts w:ascii="Open Sans" w:hAnsi="Open Sans" w:cs="Open Sans"/>
          <w:bCs/>
          <w:color w:val="000000" w:themeColor="text1"/>
          <w:sz w:val="22"/>
          <w:u w:val="none"/>
        </w:rPr>
        <w:t>.</w:t>
      </w:r>
    </w:p>
    <w:p w14:paraId="302B965C" w14:textId="77777777" w:rsidR="00F7270C" w:rsidRPr="00074F4B" w:rsidRDefault="00F7270C" w:rsidP="00BC0C9B">
      <w:pPr>
        <w:spacing w:before="120" w:after="120" w:line="288" w:lineRule="auto"/>
        <w:ind w:left="0" w:firstLine="0"/>
        <w:rPr>
          <w:rFonts w:ascii="Open Sans" w:hAnsi="Open Sans" w:cs="Open Sans"/>
          <w:bCs/>
          <w:sz w:val="22"/>
        </w:rPr>
      </w:pPr>
    </w:p>
    <w:p w14:paraId="52DE4E26" w14:textId="13D543FE" w:rsidR="00F7270C" w:rsidRPr="00074F4B" w:rsidRDefault="00F7270C" w:rsidP="00BC0C9B">
      <w:pPr>
        <w:pStyle w:val="Nagwek1"/>
        <w:numPr>
          <w:ilvl w:val="0"/>
          <w:numId w:val="0"/>
        </w:numPr>
        <w:spacing w:line="288" w:lineRule="auto"/>
        <w:ind w:left="567" w:hanging="567"/>
        <w:rPr>
          <w:rFonts w:ascii="Open Sans" w:hAnsi="Open Sans" w:cs="Open Sans"/>
          <w:sz w:val="22"/>
          <w:szCs w:val="22"/>
        </w:rPr>
      </w:pPr>
      <w:r w:rsidRPr="00074F4B">
        <w:rPr>
          <w:rFonts w:ascii="Open Sans" w:hAnsi="Open Sans" w:cs="Open Sans"/>
          <w:sz w:val="22"/>
          <w:szCs w:val="22"/>
        </w:rPr>
        <w:t>7.2.1. Klasyfikacja przedsięwzięcia pod kątem wymogu przeprowadzenia oceny oddziaływania na środowisko w świetle przepisów prawa polskiego i UE.</w:t>
      </w:r>
    </w:p>
    <w:p w14:paraId="3568E04C" w14:textId="6F815916" w:rsidR="00F7270C" w:rsidRPr="00074F4B" w:rsidRDefault="00F7270C" w:rsidP="00BC0C9B">
      <w:pPr>
        <w:spacing w:after="120" w:line="288" w:lineRule="auto"/>
        <w:ind w:left="0" w:firstLine="0"/>
        <w:rPr>
          <w:rFonts w:ascii="Open Sans" w:hAnsi="Open Sans" w:cs="Open Sans"/>
          <w:bCs/>
          <w:sz w:val="22"/>
        </w:rPr>
      </w:pPr>
      <w:r w:rsidRPr="00074F4B">
        <w:rPr>
          <w:rFonts w:ascii="Open Sans" w:hAnsi="Open Sans" w:cs="Open Sans"/>
          <w:bCs/>
          <w:sz w:val="22"/>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13718AF2" w14:textId="604B1CBF" w:rsidR="00F7270C" w:rsidRPr="00074F4B" w:rsidRDefault="00F7270C" w:rsidP="00BC0C9B">
      <w:pPr>
        <w:pStyle w:val="Akapitzlist"/>
        <w:numPr>
          <w:ilvl w:val="0"/>
          <w:numId w:val="20"/>
        </w:numPr>
        <w:spacing w:before="120" w:after="120" w:line="288" w:lineRule="auto"/>
        <w:rPr>
          <w:rFonts w:ascii="Open Sans" w:hAnsi="Open Sans" w:cs="Open Sans"/>
          <w:bCs/>
          <w:sz w:val="22"/>
        </w:rPr>
      </w:pPr>
      <w:r w:rsidRPr="00074F4B">
        <w:rPr>
          <w:rFonts w:ascii="Open Sans" w:hAnsi="Open Sans" w:cs="Open Sans"/>
          <w:bCs/>
          <w:sz w:val="22"/>
        </w:rPr>
        <w:t>planowane przedsięwzięcia mogące zawsze znacząco oddziaływać na środowisko, o których mowa w § 2 rozporządzenia Rady Ministrów z dnia 10</w:t>
      </w:r>
      <w:r w:rsidR="000A654B">
        <w:rPr>
          <w:rFonts w:ascii="Open Sans" w:hAnsi="Open Sans" w:cs="Open Sans"/>
          <w:bCs/>
          <w:sz w:val="22"/>
        </w:rPr>
        <w:t> </w:t>
      </w:r>
      <w:r w:rsidRPr="00074F4B">
        <w:rPr>
          <w:rFonts w:ascii="Open Sans" w:hAnsi="Open Sans" w:cs="Open Sans"/>
          <w:bCs/>
          <w:sz w:val="22"/>
        </w:rPr>
        <w:t>września 2019 r., w sprawie przedsięwzięć mogących znacząco oddziaływać na środowisko;</w:t>
      </w:r>
    </w:p>
    <w:p w14:paraId="05EC1666" w14:textId="5BDFC44B" w:rsidR="00F7270C" w:rsidRPr="00074F4B" w:rsidRDefault="00F7270C" w:rsidP="00BC0C9B">
      <w:pPr>
        <w:pStyle w:val="Akapitzlist"/>
        <w:numPr>
          <w:ilvl w:val="0"/>
          <w:numId w:val="20"/>
        </w:numPr>
        <w:spacing w:before="120" w:after="120" w:line="288" w:lineRule="auto"/>
        <w:rPr>
          <w:rFonts w:ascii="Open Sans" w:hAnsi="Open Sans" w:cs="Open Sans"/>
          <w:bCs/>
          <w:sz w:val="22"/>
        </w:rPr>
      </w:pPr>
      <w:r w:rsidRPr="00074F4B">
        <w:rPr>
          <w:rFonts w:ascii="Open Sans" w:hAnsi="Open Sans" w:cs="Open Sans"/>
          <w:bCs/>
          <w:sz w:val="22"/>
        </w:rPr>
        <w:t>planowane przedsięwzięcia mogące potencjalnie znacząco oddziaływać na środowisko, jeżeli obowiązek przeprowadzenia oceny oddziaływania przedsięwzięcia na środowisko został stwierdzony, o których mowa w § 3 rozporządzenia.</w:t>
      </w:r>
    </w:p>
    <w:p w14:paraId="4D23E82C" w14:textId="77777777"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 xml:space="preserve">Poza ww. przedsięwzięciami, przepisy ustawy </w:t>
      </w:r>
      <w:proofErr w:type="spellStart"/>
      <w:r w:rsidRPr="00074F4B">
        <w:rPr>
          <w:rFonts w:ascii="Open Sans" w:hAnsi="Open Sans" w:cs="Open Sans"/>
          <w:bCs/>
          <w:sz w:val="22"/>
        </w:rPr>
        <w:t>ooś</w:t>
      </w:r>
      <w:proofErr w:type="spellEnd"/>
      <w:r w:rsidRPr="00074F4B">
        <w:rPr>
          <w:rFonts w:ascii="Open Sans" w:hAnsi="Open Sans" w:cs="Open Sans"/>
          <w:bCs/>
          <w:sz w:val="22"/>
        </w:rPr>
        <w:t xml:space="preserve"> odnoszą się do przedsięwzięć, które wymagają przeprowadzenia oceny oddziaływania przedsięwzięcia na obszar Natura 2000, jeżeli:</w:t>
      </w:r>
    </w:p>
    <w:p w14:paraId="758EC4C3" w14:textId="4129F0D0" w:rsidR="00F7270C" w:rsidRPr="00074F4B" w:rsidRDefault="00F7270C" w:rsidP="00BC0C9B">
      <w:pPr>
        <w:pStyle w:val="Akapitzlist"/>
        <w:numPr>
          <w:ilvl w:val="0"/>
          <w:numId w:val="20"/>
        </w:numPr>
        <w:spacing w:before="120" w:after="120" w:line="288" w:lineRule="auto"/>
        <w:rPr>
          <w:rFonts w:ascii="Open Sans" w:hAnsi="Open Sans" w:cs="Open Sans"/>
          <w:bCs/>
          <w:sz w:val="22"/>
        </w:rPr>
      </w:pPr>
      <w:r w:rsidRPr="00074F4B">
        <w:rPr>
          <w:rFonts w:ascii="Open Sans" w:hAnsi="Open Sans" w:cs="Open Sans"/>
          <w:bCs/>
          <w:sz w:val="22"/>
        </w:rPr>
        <w:t>przedsięwzięcie to może znacząco oddziaływać na obszar Natura 2000, a nie jest bezpośrednio związane z ochroną tego obszaru lub nie wynika z tej ochrony;</w:t>
      </w:r>
    </w:p>
    <w:p w14:paraId="011F5272" w14:textId="0ABE36AB" w:rsidR="00F7270C" w:rsidRPr="00074F4B" w:rsidRDefault="00F7270C" w:rsidP="00BC0C9B">
      <w:pPr>
        <w:pStyle w:val="Akapitzlist"/>
        <w:numPr>
          <w:ilvl w:val="0"/>
          <w:numId w:val="20"/>
        </w:numPr>
        <w:spacing w:before="120" w:after="120" w:line="288" w:lineRule="auto"/>
        <w:rPr>
          <w:rFonts w:ascii="Open Sans" w:hAnsi="Open Sans" w:cs="Open Sans"/>
          <w:bCs/>
          <w:sz w:val="22"/>
        </w:rPr>
      </w:pPr>
      <w:r w:rsidRPr="00074F4B">
        <w:rPr>
          <w:rFonts w:ascii="Open Sans" w:hAnsi="Open Sans" w:cs="Open Sans"/>
          <w:bCs/>
          <w:sz w:val="22"/>
        </w:rPr>
        <w:t>obowiązek przeprowadzenia oceny oddziaływania przedsięwzięcia na obszar Natura 2000 został stwierdzony.</w:t>
      </w:r>
    </w:p>
    <w:p w14:paraId="07FC1EE9" w14:textId="1D640A5D" w:rsidR="005A1185" w:rsidRPr="00074F4B" w:rsidRDefault="005A1185" w:rsidP="00BC0C9B">
      <w:pPr>
        <w:spacing w:before="120" w:after="120" w:line="288" w:lineRule="auto"/>
        <w:ind w:left="0" w:firstLine="0"/>
        <w:rPr>
          <w:rFonts w:ascii="Open Sans" w:hAnsi="Open Sans" w:cs="Open Sans"/>
          <w:bCs/>
          <w:sz w:val="22"/>
          <w:highlight w:val="yellow"/>
        </w:rPr>
      </w:pPr>
      <w:r w:rsidRPr="00074F4B">
        <w:rPr>
          <w:rFonts w:ascii="Open Sans" w:hAnsi="Open Sans" w:cs="Open Sans"/>
          <w:noProof/>
          <w:sz w:val="22"/>
        </w:rPr>
        <w:drawing>
          <wp:inline distT="0" distB="0" distL="0" distR="0" wp14:anchorId="21EE4F9A" wp14:editId="20566073">
            <wp:extent cx="4572000" cy="2371725"/>
            <wp:effectExtent l="0" t="0" r="0" b="0"/>
            <wp:docPr id="352378107" name="Obraz 352378107" descr="Klasyfikacja przedsięwzięcia pod kątem wymogu przeprowadzenia oceny oddziaływania na środowisko w świetle przepisów prawa polskiego i UE">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descr="Klasyfikacja przedsięwzięcia pod kątem wymogu przeprowadzenia oceny oddziaływania na środowisko w świetle przepisów prawa polskiego i UE">
                      <a:extLst>
                        <a:ext uri="{C183D7F6-B498-43B3-948B-1728B52AA6E4}">
                          <adec:decorative xmlns:adec="http://schemas.microsoft.com/office/drawing/2017/decorative" val="0"/>
                        </a:ext>
                      </a:extLst>
                    </pic:cNvPr>
                    <pic:cNvPicPr/>
                  </pic:nvPicPr>
                  <pic:blipFill>
                    <a:blip r:embed="rId15">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2F6A55D6" w14:textId="2D99FFEE" w:rsidR="00F7270C" w:rsidRPr="00074F4B" w:rsidRDefault="00F7270C" w:rsidP="00BC0C9B">
      <w:pPr>
        <w:spacing w:before="120" w:after="120" w:line="288" w:lineRule="auto"/>
        <w:ind w:left="0" w:firstLine="0"/>
        <w:rPr>
          <w:rFonts w:ascii="Open Sans" w:hAnsi="Open Sans" w:cs="Open Sans"/>
          <w:bCs/>
          <w:sz w:val="22"/>
        </w:rPr>
      </w:pPr>
      <w:r w:rsidRPr="00C64388">
        <w:rPr>
          <w:rFonts w:ascii="Open Sans" w:hAnsi="Open Sans" w:cs="Open Sans"/>
          <w:bCs/>
          <w:sz w:val="22"/>
        </w:rPr>
        <w:t>Źródło: “Przedsięwzięcia mogące znacząco oddziaływać na środowisko …"</w:t>
      </w:r>
    </w:p>
    <w:p w14:paraId="1D6BB295" w14:textId="77777777"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W przypadku pozostałych działań/zadań inwestycyjnych należy krótko uzasadnić brak konieczności przeprowadzenia ww. postępowania.</w:t>
      </w:r>
    </w:p>
    <w:p w14:paraId="5DC25A4D" w14:textId="4C8DD592" w:rsidR="00F7270C" w:rsidRPr="00074F4B" w:rsidRDefault="00F7270C" w:rsidP="00BC0C9B">
      <w:pPr>
        <w:pStyle w:val="Nagwek1"/>
        <w:numPr>
          <w:ilvl w:val="0"/>
          <w:numId w:val="0"/>
        </w:numPr>
        <w:spacing w:before="480" w:line="288" w:lineRule="auto"/>
        <w:ind w:left="567" w:hanging="567"/>
        <w:rPr>
          <w:rFonts w:ascii="Open Sans" w:hAnsi="Open Sans" w:cs="Open Sans"/>
          <w:sz w:val="22"/>
          <w:szCs w:val="22"/>
        </w:rPr>
      </w:pPr>
      <w:r w:rsidRPr="00074F4B">
        <w:rPr>
          <w:rFonts w:ascii="Open Sans" w:hAnsi="Open Sans" w:cs="Open Sans"/>
          <w:sz w:val="22"/>
          <w:szCs w:val="22"/>
        </w:rPr>
        <w:t>7.2.2.1. Zadania z przeprowadzoną oceną oddziaływania na środowisko.</w:t>
      </w:r>
    </w:p>
    <w:p w14:paraId="51DB9D33" w14:textId="5A044084" w:rsidR="00F7270C" w:rsidRPr="00074F4B" w:rsidRDefault="00F7270C" w:rsidP="00BC0C9B">
      <w:pPr>
        <w:spacing w:after="120" w:line="288" w:lineRule="auto"/>
        <w:ind w:left="0" w:firstLine="0"/>
        <w:rPr>
          <w:rFonts w:ascii="Open Sans" w:hAnsi="Open Sans" w:cs="Open Sans"/>
          <w:bCs/>
          <w:sz w:val="22"/>
        </w:rPr>
      </w:pPr>
      <w:r w:rsidRPr="00074F4B">
        <w:rPr>
          <w:rFonts w:ascii="Open Sans" w:hAnsi="Open Sans" w:cs="Open Sans"/>
          <w:bCs/>
          <w:sz w:val="22"/>
        </w:rPr>
        <w:t>Należy wskazać, które przedsięwzięcia w ramach projektu wymagały przeprowadzenia oceny oddziaływania na środowisko wraz z prezentacją przeprowadzonych postępowań.</w:t>
      </w:r>
    </w:p>
    <w:p w14:paraId="0855AA4A" w14:textId="19EA3BBC" w:rsidR="00F7270C" w:rsidRPr="00074F4B" w:rsidRDefault="00F7270C" w:rsidP="00BC0C9B">
      <w:pPr>
        <w:pStyle w:val="Nagwek1"/>
        <w:numPr>
          <w:ilvl w:val="0"/>
          <w:numId w:val="0"/>
        </w:numPr>
        <w:spacing w:before="480" w:line="288" w:lineRule="auto"/>
        <w:ind w:left="851" w:hanging="851"/>
        <w:rPr>
          <w:rFonts w:ascii="Open Sans" w:hAnsi="Open Sans" w:cs="Open Sans"/>
          <w:sz w:val="22"/>
          <w:szCs w:val="22"/>
        </w:rPr>
      </w:pPr>
      <w:r w:rsidRPr="00074F4B">
        <w:rPr>
          <w:rFonts w:ascii="Open Sans" w:hAnsi="Open Sans" w:cs="Open Sans"/>
          <w:sz w:val="22"/>
          <w:szCs w:val="22"/>
        </w:rPr>
        <w:t>7.2.2.2. Zadania bez oceny oddziaływania na środowisko wraz z uzasadnieniem braku kwalifikacji do oceny.</w:t>
      </w:r>
    </w:p>
    <w:p w14:paraId="19E9FDD2" w14:textId="4A026C5E"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Należy wskazać, które przedsięwzięcia w ramach projektu nie wymagały przeprowadzenia oceny oddziaływania na środowisko oraz uzasadnić brak kwalifikacji do oceny.</w:t>
      </w:r>
    </w:p>
    <w:p w14:paraId="67658EDA" w14:textId="702BF725" w:rsidR="00F7270C" w:rsidRPr="00074F4B" w:rsidRDefault="00F7270C" w:rsidP="00BC0C9B">
      <w:pPr>
        <w:spacing w:before="480" w:after="120" w:line="288" w:lineRule="auto"/>
        <w:ind w:left="0" w:firstLine="0"/>
        <w:rPr>
          <w:rFonts w:ascii="Open Sans" w:hAnsi="Open Sans" w:cs="Open Sans"/>
          <w:b/>
          <w:sz w:val="22"/>
        </w:rPr>
      </w:pPr>
      <w:r w:rsidRPr="00074F4B">
        <w:rPr>
          <w:rFonts w:ascii="Open Sans" w:hAnsi="Open Sans" w:cs="Open Sans"/>
          <w:b/>
          <w:sz w:val="22"/>
        </w:rPr>
        <w:t xml:space="preserve">7.2.3. Ocena wpływu przedsięwzięcia na obszary Natura 2000 wraz z prezentacją przeprowadzonych postępowań administracyjnych. </w:t>
      </w:r>
    </w:p>
    <w:p w14:paraId="3E262A9F" w14:textId="77777777" w:rsidR="00F7270C" w:rsidRPr="00074F4B" w:rsidRDefault="00F7270C" w:rsidP="00BC0C9B">
      <w:pPr>
        <w:spacing w:after="120" w:line="288" w:lineRule="auto"/>
        <w:ind w:left="0" w:firstLine="0"/>
        <w:rPr>
          <w:rFonts w:ascii="Open Sans" w:hAnsi="Open Sans" w:cs="Open Sans"/>
          <w:bCs/>
          <w:sz w:val="22"/>
        </w:rPr>
      </w:pPr>
      <w:r w:rsidRPr="00074F4B">
        <w:rPr>
          <w:rFonts w:ascii="Open Sans" w:hAnsi="Open Sans" w:cs="Open Sans"/>
          <w:bCs/>
          <w:sz w:val="22"/>
        </w:rPr>
        <w:t xml:space="preserve">Należy wykazać wpływ przedsięwzięcia na obszary Natura 2000. </w:t>
      </w:r>
    </w:p>
    <w:p w14:paraId="593DDF0A" w14:textId="77777777"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 xml:space="preserve">W przypadku braku znaczącego negatywnego wpływu na obszary, które są lub mają być objęte siecią Natura 2000, należy przedłożyć deklarację organu odpowiedzialnego za monitorowanie obszarów </w:t>
      </w:r>
      <w:r w:rsidRPr="00C64388">
        <w:rPr>
          <w:rFonts w:ascii="Open Sans" w:hAnsi="Open Sans" w:cs="Open Sans"/>
          <w:bCs/>
          <w:sz w:val="22"/>
        </w:rPr>
        <w:t>Natura 2000 (Załącznik 4.1. do WoD) oraz</w:t>
      </w:r>
      <w:r w:rsidRPr="00074F4B">
        <w:rPr>
          <w:rFonts w:ascii="Open Sans" w:hAnsi="Open Sans" w:cs="Open Sans"/>
          <w:bCs/>
          <w:sz w:val="22"/>
        </w:rPr>
        <w:t xml:space="preserve"> mapę, na której wskazano lokalizację projektu i obszarów Natura 2000.</w:t>
      </w:r>
    </w:p>
    <w:p w14:paraId="35A27533" w14:textId="77777777"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 xml:space="preserve">W przypadku, gdy w raporcie </w:t>
      </w:r>
      <w:proofErr w:type="spellStart"/>
      <w:r w:rsidRPr="00074F4B">
        <w:rPr>
          <w:rFonts w:ascii="Open Sans" w:hAnsi="Open Sans" w:cs="Open Sans"/>
          <w:bCs/>
          <w:sz w:val="22"/>
        </w:rPr>
        <w:t>ooś</w:t>
      </w:r>
      <w:proofErr w:type="spellEnd"/>
      <w:r w:rsidRPr="00074F4B">
        <w:rPr>
          <w:rFonts w:ascii="Open Sans" w:hAnsi="Open Sans" w:cs="Open Sans"/>
          <w:bCs/>
          <w:sz w:val="22"/>
        </w:rPr>
        <w:t xml:space="preserve"> była przeprowadzona ocena oddziaływania na zasadach określonych w ustawie </w:t>
      </w:r>
      <w:proofErr w:type="spellStart"/>
      <w:r w:rsidRPr="00074F4B">
        <w:rPr>
          <w:rFonts w:ascii="Open Sans" w:hAnsi="Open Sans" w:cs="Open Sans"/>
          <w:bCs/>
          <w:sz w:val="22"/>
        </w:rPr>
        <w:t>ooś</w:t>
      </w:r>
      <w:proofErr w:type="spellEnd"/>
      <w:r w:rsidRPr="00074F4B">
        <w:rPr>
          <w:rFonts w:ascii="Open Sans" w:hAnsi="Open Sans" w:cs="Open Sans"/>
          <w:bCs/>
          <w:sz w:val="22"/>
        </w:rPr>
        <w:t xml:space="preserve">, należy załączyć/udostępnić pełną wersję raportu albo rozdziały raportu, w których zawarto ocenę oddziaływania na obszary Natura 2000 oraz pozostałą dokumentację, o której mowa w ustawie </w:t>
      </w:r>
      <w:proofErr w:type="spellStart"/>
      <w:r w:rsidRPr="00074F4B">
        <w:rPr>
          <w:rFonts w:ascii="Open Sans" w:hAnsi="Open Sans" w:cs="Open Sans"/>
          <w:bCs/>
          <w:sz w:val="22"/>
        </w:rPr>
        <w:t>ooś</w:t>
      </w:r>
      <w:proofErr w:type="spellEnd"/>
      <w:r w:rsidRPr="00074F4B">
        <w:rPr>
          <w:rFonts w:ascii="Open Sans" w:hAnsi="Open Sans" w:cs="Open Sans"/>
          <w:bCs/>
          <w:sz w:val="22"/>
        </w:rPr>
        <w:t>.</w:t>
      </w:r>
    </w:p>
    <w:p w14:paraId="3476F4F4" w14:textId="77777777"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 xml:space="preserve">W przypadku procedury oceny dla przedsięwzięć, które nie są przedsięwzięciami mogącymi znacząco oddziaływać na </w:t>
      </w:r>
      <w:proofErr w:type="gramStart"/>
      <w:r w:rsidRPr="00074F4B">
        <w:rPr>
          <w:rFonts w:ascii="Open Sans" w:hAnsi="Open Sans" w:cs="Open Sans"/>
          <w:bCs/>
          <w:sz w:val="22"/>
        </w:rPr>
        <w:t>środowisko</w:t>
      </w:r>
      <w:proofErr w:type="gramEnd"/>
      <w:r w:rsidRPr="00074F4B">
        <w:rPr>
          <w:rFonts w:ascii="Open Sans" w:hAnsi="Open Sans" w:cs="Open Sans"/>
          <w:bCs/>
          <w:sz w:val="22"/>
        </w:rPr>
        <w:t xml:space="preserve"> ale mogą znacząco wpływać na obszary Natura 2000, wymaga się załączenia raportu, o którym mowa w art. 97 ust. 3 ustawy </w:t>
      </w:r>
      <w:proofErr w:type="spellStart"/>
      <w:r w:rsidRPr="00074F4B">
        <w:rPr>
          <w:rFonts w:ascii="Open Sans" w:hAnsi="Open Sans" w:cs="Open Sans"/>
          <w:bCs/>
          <w:sz w:val="22"/>
        </w:rPr>
        <w:t>ooś</w:t>
      </w:r>
      <w:proofErr w:type="spellEnd"/>
      <w:r w:rsidRPr="00074F4B">
        <w:rPr>
          <w:rFonts w:ascii="Open Sans" w:hAnsi="Open Sans" w:cs="Open Sans"/>
          <w:bCs/>
          <w:sz w:val="22"/>
        </w:rPr>
        <w:t xml:space="preserve">, postanowienia, o którym mowa w art. 98 ust. 1 ustawy </w:t>
      </w:r>
      <w:proofErr w:type="spellStart"/>
      <w:r w:rsidRPr="00074F4B">
        <w:rPr>
          <w:rFonts w:ascii="Open Sans" w:hAnsi="Open Sans" w:cs="Open Sans"/>
          <w:bCs/>
          <w:sz w:val="22"/>
        </w:rPr>
        <w:t>ooś</w:t>
      </w:r>
      <w:proofErr w:type="spellEnd"/>
      <w:r w:rsidRPr="00074F4B">
        <w:rPr>
          <w:rFonts w:ascii="Open Sans" w:hAnsi="Open Sans" w:cs="Open Sans"/>
          <w:bCs/>
          <w:sz w:val="22"/>
        </w:rPr>
        <w:t xml:space="preserve"> oraz kopii decyzji, o której mowa w art. 96 ust. 1 ustawy </w:t>
      </w:r>
      <w:proofErr w:type="spellStart"/>
      <w:r w:rsidRPr="00074F4B">
        <w:rPr>
          <w:rFonts w:ascii="Open Sans" w:hAnsi="Open Sans" w:cs="Open Sans"/>
          <w:bCs/>
          <w:sz w:val="22"/>
        </w:rPr>
        <w:t>ooś</w:t>
      </w:r>
      <w:proofErr w:type="spellEnd"/>
      <w:r w:rsidRPr="00074F4B">
        <w:rPr>
          <w:rFonts w:ascii="Open Sans" w:hAnsi="Open Sans" w:cs="Open Sans"/>
          <w:bCs/>
          <w:sz w:val="22"/>
        </w:rPr>
        <w:t xml:space="preserve"> wraz z informacją o jej podaniu do publicznej wiadomości w formie przewidzianej w art. 3 ust. 1 pkt 11 ustawy </w:t>
      </w:r>
      <w:proofErr w:type="spellStart"/>
      <w:r w:rsidRPr="00074F4B">
        <w:rPr>
          <w:rFonts w:ascii="Open Sans" w:hAnsi="Open Sans" w:cs="Open Sans"/>
          <w:bCs/>
          <w:sz w:val="22"/>
        </w:rPr>
        <w:t>ooś</w:t>
      </w:r>
      <w:proofErr w:type="spellEnd"/>
      <w:r w:rsidRPr="00074F4B">
        <w:rPr>
          <w:rFonts w:ascii="Open Sans" w:hAnsi="Open Sans" w:cs="Open Sans"/>
          <w:bCs/>
          <w:sz w:val="22"/>
        </w:rPr>
        <w:t>.</w:t>
      </w:r>
    </w:p>
    <w:p w14:paraId="529FFCCC" w14:textId="77777777"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 xml:space="preserve">W </w:t>
      </w:r>
      <w:proofErr w:type="gramStart"/>
      <w:r w:rsidRPr="00074F4B">
        <w:rPr>
          <w:rFonts w:ascii="Open Sans" w:hAnsi="Open Sans" w:cs="Open Sans"/>
          <w:bCs/>
          <w:sz w:val="22"/>
        </w:rPr>
        <w:t>przypadku  ustalenia</w:t>
      </w:r>
      <w:proofErr w:type="gramEnd"/>
      <w:r w:rsidRPr="00074F4B">
        <w:rPr>
          <w:rFonts w:ascii="Open Sans" w:hAnsi="Open Sans" w:cs="Open Sans"/>
          <w:bCs/>
          <w:sz w:val="22"/>
        </w:rPr>
        <w:t xml:space="preserve">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5EB1F4E0" w14:textId="3994AD5A"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 xml:space="preserve">Zalecenia w tym zakresie zawarte są m. in. w: </w:t>
      </w:r>
      <w:hyperlink r:id="rId16" w:history="1">
        <w:r w:rsidRPr="00074F4B">
          <w:rPr>
            <w:rStyle w:val="Hipercze"/>
            <w:rFonts w:ascii="Open Sans" w:hAnsi="Open Sans" w:cs="Open Sans"/>
            <w:bCs/>
            <w:sz w:val="22"/>
          </w:rPr>
          <w:t>https://ec.europa.eu/environment/nature/natura2000/management/docs/art6/natura_2000_assess_pl.pdf</w:t>
        </w:r>
      </w:hyperlink>
    </w:p>
    <w:p w14:paraId="736D1308" w14:textId="643A63DE" w:rsidR="00F7270C" w:rsidRPr="00074F4B" w:rsidRDefault="00000000" w:rsidP="00BC0C9B">
      <w:pPr>
        <w:spacing w:before="120" w:after="120" w:line="288" w:lineRule="auto"/>
        <w:ind w:left="0" w:firstLine="0"/>
        <w:rPr>
          <w:rFonts w:ascii="Open Sans" w:hAnsi="Open Sans" w:cs="Open Sans"/>
          <w:bCs/>
          <w:sz w:val="22"/>
        </w:rPr>
      </w:pPr>
      <w:hyperlink r:id="rId17" w:history="1">
        <w:r w:rsidR="00F7270C" w:rsidRPr="00074F4B">
          <w:rPr>
            <w:rStyle w:val="Hipercze"/>
            <w:rFonts w:ascii="Open Sans" w:hAnsi="Open Sans" w:cs="Open Sans"/>
            <w:bCs/>
            <w:sz w:val="22"/>
          </w:rPr>
          <w:t>https://ec.europa.eu/environment/nature/natura2000/management/docs/art6/PL_art_6_guide_jun_2019.pdf</w:t>
        </w:r>
      </w:hyperlink>
    </w:p>
    <w:p w14:paraId="5BFE3DF4" w14:textId="5D27BC64" w:rsidR="00F7270C" w:rsidRPr="00074F4B" w:rsidRDefault="00F7270C" w:rsidP="00BC0C9B">
      <w:pPr>
        <w:pStyle w:val="Nagwek1"/>
        <w:numPr>
          <w:ilvl w:val="0"/>
          <w:numId w:val="0"/>
        </w:numPr>
        <w:spacing w:before="480" w:line="288" w:lineRule="auto"/>
        <w:ind w:left="567" w:hanging="567"/>
        <w:rPr>
          <w:rFonts w:ascii="Open Sans" w:hAnsi="Open Sans" w:cs="Open Sans"/>
          <w:sz w:val="22"/>
          <w:szCs w:val="22"/>
        </w:rPr>
      </w:pPr>
      <w:r w:rsidRPr="00074F4B">
        <w:rPr>
          <w:rFonts w:ascii="Open Sans" w:hAnsi="Open Sans" w:cs="Open Sans"/>
          <w:sz w:val="22"/>
          <w:szCs w:val="22"/>
        </w:rPr>
        <w:t xml:space="preserve">7.2.4. Rozwiązania na rzecz zmniejszenia lub skompensowania negatywnego oddziaływania na środowisko. </w:t>
      </w:r>
    </w:p>
    <w:p w14:paraId="439BA862" w14:textId="77777777" w:rsidR="00F7270C" w:rsidRPr="00074F4B" w:rsidRDefault="00F7270C" w:rsidP="00BC0C9B">
      <w:pPr>
        <w:spacing w:after="120" w:line="288" w:lineRule="auto"/>
        <w:ind w:left="0" w:firstLine="0"/>
        <w:rPr>
          <w:rFonts w:ascii="Open Sans" w:hAnsi="Open Sans" w:cs="Open Sans"/>
          <w:bCs/>
          <w:sz w:val="22"/>
        </w:rPr>
      </w:pPr>
      <w:r w:rsidRPr="00074F4B">
        <w:rPr>
          <w:rFonts w:ascii="Open Sans" w:hAnsi="Open Sans" w:cs="Open Sans"/>
          <w:bCs/>
          <w:sz w:val="22"/>
        </w:rPr>
        <w:t>Należy przedstawić rozwiązania mające na celu zapobieganie, ograniczanie lub kompensację przyrodniczą negatywnych oddziaływań na środowisko, w szczególności na cele i przedmiot ochrony obszaru Natura 2000 oraz integralność tego obszaru.</w:t>
      </w:r>
    </w:p>
    <w:p w14:paraId="655F8EF1" w14:textId="58732EC1"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 xml:space="preserve">W </w:t>
      </w:r>
      <w:proofErr w:type="gramStart"/>
      <w:r w:rsidRPr="00074F4B">
        <w:rPr>
          <w:rFonts w:ascii="Open Sans" w:hAnsi="Open Sans" w:cs="Open Sans"/>
          <w:bCs/>
          <w:sz w:val="22"/>
        </w:rPr>
        <w:t>przypadku  ustalenia</w:t>
      </w:r>
      <w:proofErr w:type="gramEnd"/>
      <w:r w:rsidRPr="00074F4B">
        <w:rPr>
          <w:rFonts w:ascii="Open Sans" w:hAnsi="Open Sans" w:cs="Open Sans"/>
          <w:bCs/>
          <w:sz w:val="22"/>
        </w:rPr>
        <w:t xml:space="preserve">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t>
      </w:r>
      <w:proofErr w:type="gramStart"/>
      <w:r w:rsidRPr="00074F4B">
        <w:rPr>
          <w:rFonts w:ascii="Open Sans" w:hAnsi="Open Sans" w:cs="Open Sans"/>
          <w:bCs/>
          <w:sz w:val="22"/>
        </w:rPr>
        <w:t>wskazać</w:t>
      </w:r>
      <w:proofErr w:type="gramEnd"/>
      <w:r w:rsidRPr="00074F4B">
        <w:rPr>
          <w:rFonts w:ascii="Open Sans" w:hAnsi="Open Sans" w:cs="Open Sans"/>
          <w:bCs/>
          <w:sz w:val="22"/>
        </w:rPr>
        <w:t xml:space="preserve"> kiedy nastąpi zakładany efekt kompensacji przyrodniczej wraz z odniesieniem do terminu rozpoczęcia działań powodujących negatywne oddziaływanie.</w:t>
      </w:r>
    </w:p>
    <w:p w14:paraId="1DFB9D94" w14:textId="77777777" w:rsidR="00F7270C" w:rsidRPr="00074F4B" w:rsidRDefault="00F7270C" w:rsidP="00BC0C9B">
      <w:pPr>
        <w:pStyle w:val="Nagwek1"/>
        <w:numPr>
          <w:ilvl w:val="0"/>
          <w:numId w:val="0"/>
        </w:numPr>
        <w:spacing w:before="480" w:line="288" w:lineRule="auto"/>
        <w:ind w:left="426" w:hanging="426"/>
        <w:rPr>
          <w:rFonts w:ascii="Open Sans" w:hAnsi="Open Sans" w:cs="Open Sans"/>
          <w:sz w:val="22"/>
          <w:szCs w:val="22"/>
        </w:rPr>
      </w:pPr>
      <w:r w:rsidRPr="00074F4B">
        <w:rPr>
          <w:rFonts w:ascii="Open Sans" w:hAnsi="Open Sans" w:cs="Open Sans"/>
          <w:sz w:val="22"/>
          <w:szCs w:val="22"/>
        </w:rPr>
        <w:t>7.4.</w:t>
      </w:r>
      <w:r w:rsidRPr="00074F4B">
        <w:rPr>
          <w:rFonts w:ascii="Open Sans" w:hAnsi="Open Sans" w:cs="Open Sans"/>
          <w:sz w:val="22"/>
          <w:szCs w:val="22"/>
        </w:rPr>
        <w:tab/>
        <w:t xml:space="preserve"> Przystosowanie do zmian klimatu i łagodzenie zmiany klimatu, a także odporność na klęski żywiołowe</w:t>
      </w:r>
    </w:p>
    <w:p w14:paraId="14BEBCC7" w14:textId="3C9AB137"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Wytycznymi technicznymi dotyczącymi weryfikacji infrastruktury pod względem wpływu na klimat w latach 2021-2027 (2021/C 373/01). Beneficjent może też skorzystać z poradników uzupełniających Wytyczne techniczne. W analizie należy odnieść się do wymogów zawartych w Rozporządzeniu ogólnym 2021/1060 i przepisach krajowych, które mają zastosowanie do danego projektu. Należy też zamieścić podsumowanie przeprowadzonej weryfikacji i ocenę dostosowania projektu do celów Porozumienia Paryskiego (Ramowej konwencji Narodów Zjednoczonych w sprawie zmian klimatu podpisanej 22 kwietnia </w:t>
      </w:r>
      <w:proofErr w:type="gramStart"/>
      <w:r w:rsidRPr="00074F4B">
        <w:rPr>
          <w:rFonts w:ascii="Open Sans" w:hAnsi="Open Sans" w:cs="Open Sans"/>
          <w:bCs/>
          <w:sz w:val="22"/>
        </w:rPr>
        <w:t>2016r.</w:t>
      </w:r>
      <w:proofErr w:type="gramEnd"/>
      <w:r w:rsidRPr="00074F4B">
        <w:rPr>
          <w:rFonts w:ascii="Open Sans" w:hAnsi="Open Sans" w:cs="Open Sans"/>
          <w:bCs/>
          <w:sz w:val="22"/>
        </w:rPr>
        <w:t xml:space="preserve"> (Dz. U. L 282 z 19.10.2016) i ratyfikowanej Decyzją Rady (UE) 2016/1841 z dnia 5</w:t>
      </w:r>
      <w:r w:rsidR="000A654B">
        <w:rPr>
          <w:rFonts w:ascii="Open Sans" w:hAnsi="Open Sans" w:cs="Open Sans"/>
          <w:bCs/>
          <w:sz w:val="22"/>
        </w:rPr>
        <w:t> </w:t>
      </w:r>
      <w:r w:rsidRPr="00074F4B">
        <w:rPr>
          <w:rFonts w:ascii="Open Sans" w:hAnsi="Open Sans" w:cs="Open Sans"/>
          <w:bCs/>
          <w:sz w:val="22"/>
        </w:rPr>
        <w:t>października 2016 r. (Dz. U. L 282 z 19.10.2016).</w:t>
      </w:r>
    </w:p>
    <w:p w14:paraId="745CCA59" w14:textId="77777777" w:rsidR="00F7270C" w:rsidRPr="00074F4B" w:rsidRDefault="00F7270C" w:rsidP="00BC0C9B">
      <w:pPr>
        <w:pStyle w:val="Nagwek1"/>
        <w:numPr>
          <w:ilvl w:val="0"/>
          <w:numId w:val="0"/>
        </w:numPr>
        <w:spacing w:before="480" w:line="288" w:lineRule="auto"/>
        <w:ind w:left="709" w:hanging="709"/>
        <w:rPr>
          <w:rFonts w:ascii="Open Sans" w:hAnsi="Open Sans" w:cs="Open Sans"/>
          <w:sz w:val="22"/>
          <w:szCs w:val="22"/>
        </w:rPr>
      </w:pPr>
      <w:r w:rsidRPr="00074F4B">
        <w:rPr>
          <w:rFonts w:ascii="Open Sans" w:hAnsi="Open Sans" w:cs="Open Sans"/>
          <w:sz w:val="22"/>
          <w:szCs w:val="22"/>
        </w:rPr>
        <w:t>7.4.1. Oddziaływanie projektu na zmiany klimatu z uwzględnieniem środków łagodzących w celu przystosowania się do zmian klimatu</w:t>
      </w:r>
    </w:p>
    <w:p w14:paraId="26CBB10B" w14:textId="77777777"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Należy udzielić odpowiedzi, w jaki sposób projekt uwzględnia przystosowanie się do zmian klimatu i ich łagodzenia; w tym:</w:t>
      </w:r>
    </w:p>
    <w:p w14:paraId="6F53BE72" w14:textId="7F3EF53B" w:rsidR="00F7270C" w:rsidRPr="00074F4B" w:rsidRDefault="00F7270C" w:rsidP="00BC0C9B">
      <w:pPr>
        <w:pStyle w:val="Akapitzlist"/>
        <w:numPr>
          <w:ilvl w:val="0"/>
          <w:numId w:val="21"/>
        </w:numPr>
        <w:spacing w:before="120" w:after="120" w:line="288" w:lineRule="auto"/>
        <w:rPr>
          <w:rFonts w:ascii="Open Sans" w:hAnsi="Open Sans" w:cs="Open Sans"/>
          <w:bCs/>
          <w:sz w:val="22"/>
        </w:rPr>
      </w:pPr>
      <w:r w:rsidRPr="00074F4B">
        <w:rPr>
          <w:rFonts w:ascii="Open Sans" w:hAnsi="Open Sans" w:cs="Open Sans"/>
          <w:bCs/>
          <w:sz w:val="22"/>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7ABE183E" w14:textId="389922D1" w:rsidR="00F7270C" w:rsidRPr="00074F4B" w:rsidRDefault="00F7270C" w:rsidP="00BC0C9B">
      <w:pPr>
        <w:pStyle w:val="Akapitzlist"/>
        <w:numPr>
          <w:ilvl w:val="0"/>
          <w:numId w:val="21"/>
        </w:numPr>
        <w:spacing w:before="120" w:after="120" w:line="288" w:lineRule="auto"/>
        <w:rPr>
          <w:rFonts w:ascii="Open Sans" w:hAnsi="Open Sans" w:cs="Open Sans"/>
          <w:bCs/>
          <w:sz w:val="22"/>
        </w:rPr>
      </w:pPr>
      <w:r w:rsidRPr="00074F4B">
        <w:rPr>
          <w:rFonts w:ascii="Open Sans" w:hAnsi="Open Sans" w:cs="Open Sans"/>
          <w:bCs/>
          <w:sz w:val="22"/>
        </w:rPr>
        <w:t xml:space="preserve">czy rozważono alternatywne rozwiązanie </w:t>
      </w:r>
      <w:proofErr w:type="gramStart"/>
      <w:r w:rsidRPr="00074F4B">
        <w:rPr>
          <w:rFonts w:ascii="Open Sans" w:hAnsi="Open Sans" w:cs="Open Sans"/>
          <w:bCs/>
          <w:sz w:val="22"/>
        </w:rPr>
        <w:t>mające  na</w:t>
      </w:r>
      <w:proofErr w:type="gramEnd"/>
      <w:r w:rsidRPr="00074F4B">
        <w:rPr>
          <w:rFonts w:ascii="Open Sans" w:hAnsi="Open Sans" w:cs="Open Sans"/>
          <w:bCs/>
          <w:sz w:val="22"/>
        </w:rPr>
        <w:t xml:space="preserve"> celu minimalizowanie negatywnego oddziaływania przedsięwzięcia na klimat np.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4.3.2.3 SW.</w:t>
      </w:r>
    </w:p>
    <w:p w14:paraId="69B4F40A" w14:textId="6B8447EB"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w:t>
      </w:r>
      <w:r w:rsidR="000A654B">
        <w:rPr>
          <w:rFonts w:ascii="Open Sans" w:hAnsi="Open Sans" w:cs="Open Sans"/>
          <w:bCs/>
          <w:sz w:val="22"/>
        </w:rPr>
        <w:t> </w:t>
      </w:r>
      <w:r w:rsidRPr="00074F4B">
        <w:rPr>
          <w:rFonts w:ascii="Open Sans" w:hAnsi="Open Sans" w:cs="Open Sans"/>
          <w:bCs/>
          <w:sz w:val="22"/>
        </w:rPr>
        <w:t xml:space="preserve">projekcie działań łagodzących przyczyniających się do zachowania neutralności klimatycznej lub pozytywnego wpływu przedsięwzięcia na klimat. (Zawiadomienie Komisji, Wytyczne techniczne dotyczące weryfikacji infrastruktury pod względem wpływu na klimat w latach 2021–2027 (2021/C 373/01) </w:t>
      </w:r>
      <w:hyperlink r:id="rId18" w:history="1">
        <w:r w:rsidRPr="00074F4B">
          <w:rPr>
            <w:rStyle w:val="Hipercze"/>
            <w:rFonts w:ascii="Open Sans" w:hAnsi="Open Sans" w:cs="Open Sans"/>
            <w:bCs/>
            <w:sz w:val="22"/>
          </w:rPr>
          <w:t>https://eur-lex.europa.eu/legal-content/PL/TXT/?uri=uriserv%3AOJ.C_.2021.373.01.0001.01.POL&amp;toc=OJ%3AC%3A2021%3A373%3AFULL</w:t>
        </w:r>
      </w:hyperlink>
    </w:p>
    <w:p w14:paraId="559BCA6E" w14:textId="21B1C438" w:rsidR="00F7270C" w:rsidRPr="00074F4B" w:rsidRDefault="00F7270C" w:rsidP="00BC0C9B">
      <w:pPr>
        <w:pStyle w:val="Nagwek1"/>
        <w:numPr>
          <w:ilvl w:val="0"/>
          <w:numId w:val="0"/>
        </w:numPr>
        <w:spacing w:line="288" w:lineRule="auto"/>
        <w:ind w:left="567" w:hanging="567"/>
        <w:rPr>
          <w:rFonts w:ascii="Open Sans" w:hAnsi="Open Sans" w:cs="Open Sans"/>
          <w:sz w:val="22"/>
          <w:szCs w:val="22"/>
        </w:rPr>
      </w:pPr>
      <w:r w:rsidRPr="00074F4B">
        <w:rPr>
          <w:rFonts w:ascii="Open Sans" w:hAnsi="Open Sans" w:cs="Open Sans"/>
          <w:sz w:val="22"/>
          <w:szCs w:val="22"/>
        </w:rPr>
        <w:t xml:space="preserve">7.4.2. Analiza odporności projektu na zmiany </w:t>
      </w:r>
      <w:proofErr w:type="gramStart"/>
      <w:r w:rsidRPr="00074F4B">
        <w:rPr>
          <w:rFonts w:ascii="Open Sans" w:hAnsi="Open Sans" w:cs="Open Sans"/>
          <w:sz w:val="22"/>
          <w:szCs w:val="22"/>
        </w:rPr>
        <w:t>klimatu  z</w:t>
      </w:r>
      <w:proofErr w:type="gramEnd"/>
      <w:r w:rsidRPr="00074F4B">
        <w:rPr>
          <w:rFonts w:ascii="Open Sans" w:hAnsi="Open Sans" w:cs="Open Sans"/>
          <w:sz w:val="22"/>
          <w:szCs w:val="22"/>
        </w:rPr>
        <w:t xml:space="preserve"> uwzględnieniem środków mających na celu adaptację projektu do zmian klimatu, w tym reagowania na ryzyko powodziowe</w:t>
      </w:r>
    </w:p>
    <w:p w14:paraId="54B1B0E8" w14:textId="4CC7E62D" w:rsidR="00F7270C" w:rsidRPr="00C64388" w:rsidRDefault="00F7270C" w:rsidP="00BC0C9B">
      <w:pPr>
        <w:spacing w:before="360" w:after="120" w:line="288" w:lineRule="auto"/>
        <w:ind w:left="0" w:firstLine="0"/>
        <w:rPr>
          <w:rFonts w:ascii="Open Sans" w:hAnsi="Open Sans" w:cs="Open Sans"/>
          <w:bCs/>
          <w:sz w:val="22"/>
        </w:rPr>
      </w:pPr>
      <w:r w:rsidRPr="00C64388">
        <w:rPr>
          <w:rFonts w:ascii="Open Sans" w:hAnsi="Open Sans" w:cs="Open Sans"/>
          <w:bCs/>
          <w:sz w:val="22"/>
        </w:rPr>
        <w:t>Należy udzielić odpowiedzi, w jaki sposób projekt uwzględnia zagrożenia związane ze zmianami klimatu oraz odporności na klęski żywiołowe</w:t>
      </w:r>
      <w:r w:rsidR="000A654B">
        <w:rPr>
          <w:rFonts w:ascii="Open Sans" w:hAnsi="Open Sans" w:cs="Open Sans"/>
          <w:bCs/>
          <w:sz w:val="22"/>
        </w:rPr>
        <w:t>,</w:t>
      </w:r>
      <w:r w:rsidRPr="00C64388">
        <w:rPr>
          <w:rFonts w:ascii="Open Sans" w:hAnsi="Open Sans" w:cs="Open Sans"/>
          <w:bCs/>
          <w:sz w:val="22"/>
        </w:rPr>
        <w:t xml:space="preserve"> w tym:</w:t>
      </w:r>
    </w:p>
    <w:p w14:paraId="3FDC910B" w14:textId="513354BB" w:rsidR="00F7270C" w:rsidRPr="00C64388" w:rsidRDefault="00F7270C" w:rsidP="00BC0C9B">
      <w:pPr>
        <w:pStyle w:val="Akapitzlist"/>
        <w:numPr>
          <w:ilvl w:val="0"/>
          <w:numId w:val="22"/>
        </w:numPr>
        <w:spacing w:before="120" w:after="120" w:line="288" w:lineRule="auto"/>
        <w:rPr>
          <w:rFonts w:ascii="Open Sans" w:hAnsi="Open Sans" w:cs="Open Sans"/>
          <w:bCs/>
          <w:sz w:val="22"/>
        </w:rPr>
      </w:pPr>
      <w:r w:rsidRPr="00C64388">
        <w:rPr>
          <w:rFonts w:ascii="Open Sans" w:hAnsi="Open Sans" w:cs="Open Sans"/>
          <w:bCs/>
          <w:sz w:val="22"/>
        </w:rPr>
        <w:t>czy w trakcie przygotowywania projektu przeprowadzono ocenę zagrożeń wynikających ze zmian klimatycznych lub kontrolę podatności na te zagrożenia (np. ryzyko powodzi, podtopień, ekstremalnych temperatur, burz, gradu i</w:t>
      </w:r>
      <w:r w:rsidR="000A654B">
        <w:rPr>
          <w:rFonts w:ascii="Open Sans" w:hAnsi="Open Sans" w:cs="Open Sans"/>
          <w:bCs/>
          <w:sz w:val="22"/>
        </w:rPr>
        <w:t> </w:t>
      </w:r>
      <w:r w:rsidRPr="00C64388">
        <w:rPr>
          <w:rFonts w:ascii="Open Sans" w:hAnsi="Open Sans" w:cs="Open Sans"/>
          <w:bCs/>
          <w:sz w:val="22"/>
        </w:rPr>
        <w:t>wiatru, osunięć ziemi)? W zakresie zagrożenia powodziowego należy spozycjonować inwestycję na tle aktualnych dokumentów planistycznych w</w:t>
      </w:r>
      <w:r w:rsidR="000A654B">
        <w:rPr>
          <w:rFonts w:ascii="Open Sans" w:hAnsi="Open Sans" w:cs="Open Sans"/>
          <w:bCs/>
          <w:sz w:val="22"/>
        </w:rPr>
        <w:t> </w:t>
      </w:r>
      <w:r w:rsidRPr="00C64388">
        <w:rPr>
          <w:rFonts w:ascii="Open Sans" w:hAnsi="Open Sans" w:cs="Open Sans"/>
          <w:bCs/>
          <w:sz w:val="22"/>
        </w:rPr>
        <w:t>zakresie zarządzania ryzykiem powodziowym. Infrastruktura zlokalizowana na obszarach zagrożonych powodzią powinna być zaprojektowana w sposób, który uwzględnia zagrożenie i ryzyko w rozumieniu dyrektywy 2007/60/WE.</w:t>
      </w:r>
    </w:p>
    <w:p w14:paraId="0BB527E5" w14:textId="6EA695A2" w:rsidR="00F7270C" w:rsidRPr="00C64388" w:rsidRDefault="00F7270C" w:rsidP="00BC0C9B">
      <w:pPr>
        <w:pStyle w:val="Akapitzlist"/>
        <w:numPr>
          <w:ilvl w:val="0"/>
          <w:numId w:val="22"/>
        </w:numPr>
        <w:spacing w:before="120" w:after="120" w:line="288" w:lineRule="auto"/>
        <w:rPr>
          <w:rFonts w:ascii="Open Sans" w:hAnsi="Open Sans" w:cs="Open Sans"/>
          <w:bCs/>
          <w:sz w:val="22"/>
        </w:rPr>
      </w:pPr>
      <w:r w:rsidRPr="00C64388">
        <w:rPr>
          <w:rFonts w:ascii="Open Sans" w:hAnsi="Open Sans" w:cs="Open Sans"/>
          <w:bCs/>
          <w:sz w:val="22"/>
        </w:rPr>
        <w:t>czy w ramach prowadzonych prac nad przygotowaniem projektu, w tym związanych z wydaniem decyzji o środowiskowych uwarunkowaniach, uwzględniono kwestie związane ze zmianami klimatu?</w:t>
      </w:r>
    </w:p>
    <w:p w14:paraId="3FC827F3" w14:textId="067443E8" w:rsidR="00F7270C" w:rsidRPr="00C64388" w:rsidRDefault="00F7270C" w:rsidP="00BC0C9B">
      <w:pPr>
        <w:pStyle w:val="Akapitzlist"/>
        <w:numPr>
          <w:ilvl w:val="0"/>
          <w:numId w:val="22"/>
        </w:numPr>
        <w:spacing w:before="120" w:after="120" w:line="288" w:lineRule="auto"/>
        <w:rPr>
          <w:rFonts w:ascii="Open Sans" w:hAnsi="Open Sans" w:cs="Open Sans"/>
          <w:bCs/>
          <w:sz w:val="22"/>
        </w:rPr>
      </w:pPr>
      <w:r w:rsidRPr="00C64388">
        <w:rPr>
          <w:rFonts w:ascii="Open Sans" w:hAnsi="Open Sans" w:cs="Open Sans"/>
          <w:bCs/>
          <w:sz w:val="22"/>
        </w:rPr>
        <w:t>czy zmiany klimatu wpłynęły na lokalizację inwestycji?</w:t>
      </w:r>
    </w:p>
    <w:p w14:paraId="7CB1721C" w14:textId="6CD442FF" w:rsidR="00F7270C" w:rsidRPr="00C64388" w:rsidRDefault="00F7270C" w:rsidP="00BC0C9B">
      <w:pPr>
        <w:pStyle w:val="Akapitzlist"/>
        <w:numPr>
          <w:ilvl w:val="0"/>
          <w:numId w:val="22"/>
        </w:numPr>
        <w:spacing w:before="120" w:after="120" w:line="288" w:lineRule="auto"/>
        <w:rPr>
          <w:rFonts w:ascii="Open Sans" w:hAnsi="Open Sans" w:cs="Open Sans"/>
          <w:bCs/>
          <w:sz w:val="22"/>
        </w:rPr>
      </w:pPr>
      <w:r w:rsidRPr="00C64388">
        <w:rPr>
          <w:rFonts w:ascii="Open Sans" w:hAnsi="Open Sans" w:cs="Open Sans"/>
          <w:bCs/>
          <w:sz w:val="22"/>
        </w:rPr>
        <w:t>czy inwestycja w połączeniu ze zmianami klimatu będzie miała jakikolwiek pozytywny lub negatywny wpływ na otoczenie?</w:t>
      </w:r>
    </w:p>
    <w:p w14:paraId="3E739E66" w14:textId="12679F03" w:rsidR="00F7270C" w:rsidRPr="00C64388" w:rsidRDefault="005A1185" w:rsidP="00BC0C9B">
      <w:pPr>
        <w:pStyle w:val="Akapitzlist"/>
        <w:numPr>
          <w:ilvl w:val="0"/>
          <w:numId w:val="22"/>
        </w:numPr>
        <w:spacing w:before="120" w:after="120" w:line="288" w:lineRule="auto"/>
        <w:rPr>
          <w:rFonts w:ascii="Open Sans" w:hAnsi="Open Sans" w:cs="Open Sans"/>
          <w:bCs/>
          <w:sz w:val="22"/>
        </w:rPr>
      </w:pPr>
      <w:r w:rsidRPr="00C64388">
        <w:rPr>
          <w:rFonts w:ascii="Open Sans" w:hAnsi="Open Sans" w:cs="Open Sans"/>
          <w:bCs/>
          <w:sz w:val="22"/>
        </w:rPr>
        <w:t>j</w:t>
      </w:r>
      <w:r w:rsidR="00F7270C" w:rsidRPr="00C64388">
        <w:rPr>
          <w:rFonts w:ascii="Open Sans" w:hAnsi="Open Sans" w:cs="Open Sans"/>
          <w:bCs/>
          <w:sz w:val="22"/>
        </w:rPr>
        <w:t>akie rozwiązania przyjęto w ramach projektu w celu zapewnienia jego odporności na bieżącą zmienność klimatu i przyszłe zmiany klimatu?</w:t>
      </w:r>
    </w:p>
    <w:p w14:paraId="74907D34" w14:textId="1A933593" w:rsidR="00F7270C" w:rsidRPr="00C64388" w:rsidRDefault="00F7270C" w:rsidP="00BC0C9B">
      <w:pPr>
        <w:spacing w:before="120" w:after="120" w:line="288" w:lineRule="auto"/>
        <w:ind w:left="0" w:firstLine="0"/>
        <w:rPr>
          <w:rFonts w:ascii="Open Sans" w:hAnsi="Open Sans" w:cs="Open Sans"/>
          <w:bCs/>
          <w:sz w:val="22"/>
        </w:rPr>
      </w:pPr>
      <w:r w:rsidRPr="00C64388">
        <w:rPr>
          <w:rFonts w:ascii="Open Sans" w:hAnsi="Open Sans" w:cs="Open Sans"/>
          <w:bCs/>
          <w:sz w:val="22"/>
        </w:rPr>
        <w:t>Należy przeprowadzić analizę podatności oraz odporności przedsięwzięcia na zmiany klimatu, a także analizę i selekcję opcji adaptacyjnych (w nawiązaniu do analizy opcji opisanej w pkt 4 SW)  i na tej podstawie wykazać w jaki sposób projekt jest zgodny z</w:t>
      </w:r>
      <w:r w:rsidR="000A654B">
        <w:rPr>
          <w:rFonts w:ascii="Open Sans" w:hAnsi="Open Sans" w:cs="Open Sans"/>
          <w:bCs/>
          <w:sz w:val="22"/>
        </w:rPr>
        <w:t> </w:t>
      </w:r>
      <w:r w:rsidRPr="00C64388">
        <w:rPr>
          <w:rFonts w:ascii="Open Sans" w:hAnsi="Open Sans" w:cs="Open Sans"/>
          <w:bCs/>
          <w:sz w:val="22"/>
        </w:rPr>
        <w:t>art. 73 ust. 2 lit. j) rozporządzenia 2021/1060, tzn. czy inwestycja w infrastrukturę o</w:t>
      </w:r>
      <w:r w:rsidR="000A654B">
        <w:rPr>
          <w:rFonts w:ascii="Open Sans" w:hAnsi="Open Sans" w:cs="Open Sans"/>
          <w:bCs/>
          <w:sz w:val="22"/>
        </w:rPr>
        <w:t> </w:t>
      </w:r>
      <w:r w:rsidRPr="00C64388">
        <w:rPr>
          <w:rFonts w:ascii="Open Sans" w:hAnsi="Open Sans" w:cs="Open Sans"/>
          <w:bCs/>
          <w:sz w:val="22"/>
        </w:rPr>
        <w:t xml:space="preserve">przewidywanej trwałości wynoszącej co najmniej pięć lat przewidziana w ramach projektu jest odporna na zmiany klimatu, tzn. na klimat zmieniony w tym okresie. Celowym jest wykazać, że przedmiotowa infrastruktura będzie odporna na zmieniony klimat w całym cyklu jej życia, przy założeniu akceptowalnego dla niej poziomu ryzyka w warunkach zmienionego i zmieniającego się klimatu, które wpływają i będą </w:t>
      </w:r>
      <w:proofErr w:type="spellStart"/>
      <w:r w:rsidRPr="00C64388">
        <w:rPr>
          <w:rFonts w:ascii="Open Sans" w:hAnsi="Open Sans" w:cs="Open Sans"/>
          <w:bCs/>
          <w:sz w:val="22"/>
        </w:rPr>
        <w:t>postępująco</w:t>
      </w:r>
      <w:proofErr w:type="spellEnd"/>
      <w:r w:rsidRPr="00C64388">
        <w:rPr>
          <w:rFonts w:ascii="Open Sans" w:hAnsi="Open Sans" w:cs="Open Sans"/>
          <w:bCs/>
          <w:sz w:val="22"/>
        </w:rPr>
        <w:t xml:space="preserve"> wpływać na infrastrukturę, najlepiej na podstawie VI Raportu IPCC  (dla infrastruktury krytycznej rekomendujemy scenariusz IPCC z podwyższoną emisją gazów cieplarnianych wobec rosnącego wykorzystania paliw kopalnych przez główne gospodarki świata). Komisja Europejska, rozpoczynając perspektywę 2021-2027, wstępne rekomendacje w tym zakresie oparła na V Raporcie IPCC w Wytycznych technicznych dotyczących weryfikacji infrastruktury pod względem wpływu na klimat w latach 2021–2027 (2021/C 373/01), ale zaleciła w nich skorzystanie z</w:t>
      </w:r>
      <w:r w:rsidR="000A654B">
        <w:rPr>
          <w:rFonts w:ascii="Open Sans" w:hAnsi="Open Sans" w:cs="Open Sans"/>
          <w:bCs/>
          <w:sz w:val="22"/>
        </w:rPr>
        <w:t> </w:t>
      </w:r>
      <w:r w:rsidRPr="00C64388">
        <w:rPr>
          <w:rFonts w:ascii="Open Sans" w:hAnsi="Open Sans" w:cs="Open Sans"/>
          <w:bCs/>
          <w:sz w:val="22"/>
        </w:rPr>
        <w:t>przygotowywanego wówczas VI Raportu IPCC (</w:t>
      </w:r>
      <w:hyperlink r:id="rId19" w:history="1">
        <w:r w:rsidR="000A654B" w:rsidRPr="000A654B">
          <w:rPr>
            <w:rStyle w:val="Hipercze"/>
            <w:rFonts w:ascii="Open Sans" w:hAnsi="Open Sans" w:cs="Open Sans"/>
            <w:bCs/>
            <w:sz w:val="22"/>
          </w:rPr>
          <w:t>https://www.ipcc.ch/report/sixth-assessment-report-cycle/</w:t>
        </w:r>
      </w:hyperlink>
      <w:r w:rsidRPr="00C64388">
        <w:rPr>
          <w:rFonts w:ascii="Open Sans" w:hAnsi="Open Sans" w:cs="Open Sans"/>
          <w:bCs/>
          <w:sz w:val="22"/>
        </w:rPr>
        <w:t>Wytyczne KE zalecają stosowanie scenariusza RCP 6.0 lub RCP 8.5 do badania preselekcyjnego (screeningu) w ramach oceny odporności na klimat. Do celów szczegółowej analizy zalecono scenariusz RCP 4.5 dla projektów o</w:t>
      </w:r>
      <w:r w:rsidR="000A654B">
        <w:rPr>
          <w:rFonts w:ascii="Open Sans" w:hAnsi="Open Sans" w:cs="Open Sans"/>
          <w:bCs/>
          <w:sz w:val="22"/>
        </w:rPr>
        <w:t> </w:t>
      </w:r>
      <w:r w:rsidRPr="00C64388">
        <w:rPr>
          <w:rFonts w:ascii="Open Sans" w:hAnsi="Open Sans" w:cs="Open Sans"/>
          <w:bCs/>
          <w:sz w:val="22"/>
        </w:rPr>
        <w:t>żywotności do 2060 r. oraz tych, które są wystarczająco elastyczne, aby zwiększyć poziom odporności na zmianę klimatu w okresie ich życia w razie potrzeby (na przykład stopniowe podwyższanie wałów powodziowych). W przypadku projektów o</w:t>
      </w:r>
      <w:r w:rsidR="000A654B">
        <w:rPr>
          <w:rFonts w:ascii="Open Sans" w:hAnsi="Open Sans" w:cs="Open Sans"/>
          <w:bCs/>
          <w:sz w:val="22"/>
        </w:rPr>
        <w:t> </w:t>
      </w:r>
      <w:r w:rsidRPr="00C64388">
        <w:rPr>
          <w:rFonts w:ascii="Open Sans" w:hAnsi="Open Sans" w:cs="Open Sans"/>
          <w:bCs/>
          <w:sz w:val="22"/>
        </w:rPr>
        <w:t>dłuższej żywotności, a także tych, których nie można zmodernizować w trakcie ich eksploatacji, zalecono rozważenie scenariusza RCP 8.5. Informacje na temat prognoz klimatycznych dla Polski dostępne są na portalu KLIMADA 2.0 (</w:t>
      </w:r>
      <w:hyperlink r:id="rId20" w:history="1">
        <w:r w:rsidRPr="000A654B">
          <w:rPr>
            <w:rStyle w:val="Hipercze"/>
            <w:rFonts w:ascii="Open Sans" w:hAnsi="Open Sans" w:cs="Open Sans"/>
            <w:bCs/>
            <w:sz w:val="22"/>
          </w:rPr>
          <w:t>https://klimada2.ios.gov.pl/</w:t>
        </w:r>
      </w:hyperlink>
      <w:proofErr w:type="gramStart"/>
      <w:r w:rsidRPr="00C64388">
        <w:rPr>
          <w:rFonts w:ascii="Open Sans" w:hAnsi="Open Sans" w:cs="Open Sans"/>
          <w:bCs/>
          <w:sz w:val="22"/>
        </w:rPr>
        <w:t>) .</w:t>
      </w:r>
      <w:proofErr w:type="gramEnd"/>
      <w:r w:rsidRPr="00C64388">
        <w:rPr>
          <w:rFonts w:ascii="Open Sans" w:hAnsi="Open Sans" w:cs="Open Sans"/>
          <w:bCs/>
          <w:sz w:val="22"/>
        </w:rPr>
        <w:t xml:space="preserve"> Mając na uwadze powyższe zalecenia, we wnioskach składanych przed opublikowaniem szczegółowych projekcji scenariuszy VI Raportu dla Polski, należy korzystać z V Raportu, dla celów screeningu biorąc pod uwagę scenariusz RCP8, a dla szczegółowej analizy - RCP4.5 lub RCP8, zależnie od adaptacyjnej elastyczności infrastruktury. Jednak w obu przypadkach rekomendowane jest dodanie krótkiej oceny funkcjonalności tej infrastruktury przy odpowiednich scenariuszach VI Raportu </w:t>
      </w:r>
      <w:proofErr w:type="gramStart"/>
      <w:r w:rsidRPr="00C64388">
        <w:rPr>
          <w:rFonts w:ascii="Open Sans" w:hAnsi="Open Sans" w:cs="Open Sans"/>
          <w:bCs/>
          <w:sz w:val="22"/>
        </w:rPr>
        <w:t>IPCC,</w:t>
      </w:r>
      <w:proofErr w:type="gramEnd"/>
      <w:r w:rsidRPr="00C64388">
        <w:rPr>
          <w:rFonts w:ascii="Open Sans" w:hAnsi="Open Sans" w:cs="Open Sans"/>
          <w:bCs/>
          <w:sz w:val="22"/>
        </w:rPr>
        <w:t xml:space="preserve"> jako uwzględnienie zaleceń KE.</w:t>
      </w:r>
    </w:p>
    <w:p w14:paraId="66201F09" w14:textId="7C67050D" w:rsidR="00F7270C" w:rsidRPr="00C64388" w:rsidRDefault="00F7270C" w:rsidP="00BC0C9B">
      <w:pPr>
        <w:spacing w:before="120" w:after="120" w:line="288" w:lineRule="auto"/>
        <w:ind w:left="0" w:firstLine="0"/>
        <w:rPr>
          <w:rFonts w:ascii="Open Sans" w:hAnsi="Open Sans" w:cs="Open Sans"/>
          <w:bCs/>
          <w:sz w:val="22"/>
        </w:rPr>
      </w:pPr>
      <w:r w:rsidRPr="00C64388">
        <w:rPr>
          <w:rFonts w:ascii="Open Sans" w:hAnsi="Open Sans" w:cs="Open Sans"/>
          <w:bCs/>
          <w:sz w:val="22"/>
        </w:rPr>
        <w:t xml:space="preserve">W analizie można wykorzystać Poradnik przygotowania inwestycji z uwzględnieniem zmian klimatu, ich łagodzenia i przystosowania do tych zmian oraz odporności na klęski żywiołowe W kontekście oceny oddziaływania na środowisko można również skorzystać z podręcznika Zmiany klimatu i adaptacja do zmian klimatu w ocenach-oddziaływania na środowisko </w:t>
      </w:r>
      <w:r w:rsidR="005A1185" w:rsidRPr="00C64388">
        <w:rPr>
          <w:rFonts w:ascii="Open Sans" w:hAnsi="Open Sans" w:cs="Open Sans"/>
          <w:bCs/>
          <w:sz w:val="22"/>
        </w:rPr>
        <w:t>(</w:t>
      </w:r>
      <w:hyperlink r:id="rId21" w:history="1">
        <w:r w:rsidR="005A1185" w:rsidRPr="00C64388">
          <w:rPr>
            <w:rStyle w:val="Hipercze"/>
            <w:rFonts w:ascii="Open Sans" w:hAnsi="Open Sans" w:cs="Open Sans"/>
            <w:bCs/>
            <w:sz w:val="22"/>
          </w:rPr>
          <w:t>https://klimada2.ios.gov.pl/wp-content/uploads/2022/12/IOS-PIB_Zmiany-klimatu-i-adaptacja-do-zmian-klimatu-w-ocenach-oddzialywania-na-srodowisko.-PODRECZNIK-1-skompresowany.pdf</w:t>
        </w:r>
      </w:hyperlink>
      <w:r w:rsidRPr="00C64388">
        <w:rPr>
          <w:rFonts w:ascii="Open Sans" w:hAnsi="Open Sans" w:cs="Open Sans"/>
          <w:bCs/>
          <w:sz w:val="22"/>
        </w:rPr>
        <w:t>) oraz Wytyczne techniczne KE (</w:t>
      </w:r>
      <w:hyperlink r:id="rId22" w:history="1">
        <w:r w:rsidRPr="00C64388">
          <w:rPr>
            <w:rStyle w:val="Hipercze"/>
            <w:rFonts w:ascii="Open Sans" w:hAnsi="Open Sans" w:cs="Open Sans"/>
            <w:bCs/>
            <w:sz w:val="22"/>
          </w:rPr>
          <w:t>https://eur-lex.europa.eu/legal-content/PL/TXT/HTML/?uri=OJ:C:2021:373:FULL&amp;from=EN</w:t>
        </w:r>
      </w:hyperlink>
      <w:r w:rsidRPr="00C64388">
        <w:rPr>
          <w:rFonts w:ascii="Open Sans" w:hAnsi="Open Sans" w:cs="Open Sans"/>
          <w:bCs/>
          <w:sz w:val="22"/>
        </w:rPr>
        <w:t xml:space="preserve">) </w:t>
      </w:r>
    </w:p>
    <w:p w14:paraId="04A677C1" w14:textId="60B51C1B" w:rsidR="00F7270C" w:rsidRPr="00074F4B" w:rsidRDefault="00F7270C" w:rsidP="00BC0C9B">
      <w:pPr>
        <w:pStyle w:val="Nagwek1"/>
        <w:numPr>
          <w:ilvl w:val="0"/>
          <w:numId w:val="0"/>
        </w:numPr>
        <w:spacing w:line="288" w:lineRule="auto"/>
        <w:ind w:left="567" w:hanging="567"/>
        <w:rPr>
          <w:rFonts w:ascii="Open Sans" w:hAnsi="Open Sans" w:cs="Open Sans"/>
          <w:sz w:val="22"/>
          <w:szCs w:val="22"/>
        </w:rPr>
      </w:pPr>
      <w:r w:rsidRPr="00074F4B">
        <w:rPr>
          <w:rFonts w:ascii="Open Sans" w:hAnsi="Open Sans" w:cs="Open Sans"/>
          <w:sz w:val="22"/>
          <w:szCs w:val="22"/>
        </w:rPr>
        <w:t>7.4.3. Zgodność projektu z celem środowiskowym gospodarki o obiegu zamkniętym, ochrony przyrody oraz adaptacji do zmian klimatu</w:t>
      </w:r>
    </w:p>
    <w:p w14:paraId="014CE109" w14:textId="77777777" w:rsidR="00F7270C" w:rsidRPr="00074F4B" w:rsidRDefault="00F7270C" w:rsidP="00BC0C9B">
      <w:pPr>
        <w:spacing w:before="360" w:after="120" w:line="288" w:lineRule="auto"/>
        <w:ind w:left="0" w:firstLine="0"/>
        <w:rPr>
          <w:rFonts w:ascii="Open Sans" w:hAnsi="Open Sans" w:cs="Open Sans"/>
          <w:bCs/>
          <w:sz w:val="22"/>
        </w:rPr>
      </w:pPr>
      <w:r w:rsidRPr="00074F4B">
        <w:rPr>
          <w:rFonts w:ascii="Open Sans" w:hAnsi="Open Sans" w:cs="Open Sans"/>
          <w:bCs/>
          <w:sz w:val="22"/>
        </w:rPr>
        <w:t xml:space="preserve">Należy wskazać, czy w projekcie zostały zastosowane rozwiązania w zakresie gospodarki o obiegu zamkniętym (w tym m.in. wykorzystanie wód </w:t>
      </w:r>
      <w:proofErr w:type="spellStart"/>
      <w:r w:rsidRPr="00074F4B">
        <w:rPr>
          <w:rFonts w:ascii="Open Sans" w:hAnsi="Open Sans" w:cs="Open Sans"/>
          <w:bCs/>
          <w:sz w:val="22"/>
        </w:rPr>
        <w:t>popłucznych</w:t>
      </w:r>
      <w:proofErr w:type="spellEnd"/>
      <w:r w:rsidRPr="00074F4B">
        <w:rPr>
          <w:rFonts w:ascii="Open Sans" w:hAnsi="Open Sans" w:cs="Open Sans"/>
          <w:bCs/>
          <w:sz w:val="22"/>
        </w:rPr>
        <w:t>) oraz w zakresie ochrony przyrody (w tym różnorodności biologicznej).</w:t>
      </w:r>
    </w:p>
    <w:p w14:paraId="7D61D967" w14:textId="77777777"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Należy podać, czy w ramach projektu zostały zastosowane rozwiązania:</w:t>
      </w:r>
    </w:p>
    <w:p w14:paraId="2DDE3B08" w14:textId="2C5310BE" w:rsidR="00F7270C" w:rsidRPr="00074F4B" w:rsidRDefault="00F7270C" w:rsidP="00BC0C9B">
      <w:pPr>
        <w:pStyle w:val="Akapitzlist"/>
        <w:numPr>
          <w:ilvl w:val="0"/>
          <w:numId w:val="23"/>
        </w:numPr>
        <w:spacing w:before="120" w:after="120" w:line="288" w:lineRule="auto"/>
        <w:rPr>
          <w:rFonts w:ascii="Open Sans" w:hAnsi="Open Sans" w:cs="Open Sans"/>
          <w:bCs/>
          <w:sz w:val="22"/>
        </w:rPr>
      </w:pPr>
      <w:r w:rsidRPr="00074F4B">
        <w:rPr>
          <w:rFonts w:ascii="Open Sans" w:hAnsi="Open Sans" w:cs="Open Sans"/>
          <w:bCs/>
          <w:sz w:val="22"/>
        </w:rPr>
        <w:t>w zakresie ochrony przyrody (w tym zachowanie istniejących drzew i terenów zielonych oraz różnorodności biologicznej);</w:t>
      </w:r>
    </w:p>
    <w:p w14:paraId="418B759A" w14:textId="28480DC8" w:rsidR="00F7270C" w:rsidRPr="00074F4B" w:rsidRDefault="00F7270C" w:rsidP="00BC0C9B">
      <w:pPr>
        <w:pStyle w:val="Akapitzlist"/>
        <w:numPr>
          <w:ilvl w:val="0"/>
          <w:numId w:val="23"/>
        </w:numPr>
        <w:spacing w:before="120" w:after="120" w:line="288" w:lineRule="auto"/>
        <w:rPr>
          <w:rFonts w:ascii="Open Sans" w:hAnsi="Open Sans" w:cs="Open Sans"/>
          <w:bCs/>
          <w:sz w:val="22"/>
        </w:rPr>
      </w:pPr>
      <w:r w:rsidRPr="00074F4B">
        <w:rPr>
          <w:rFonts w:ascii="Open Sans" w:hAnsi="Open Sans" w:cs="Open Sans"/>
          <w:bCs/>
          <w:sz w:val="22"/>
        </w:rPr>
        <w:t>zostały zastosowane elementy w zakresie poprawy efektywności energetycznej i OZE;</w:t>
      </w:r>
    </w:p>
    <w:p w14:paraId="1E2B6AAA" w14:textId="588CC9C0" w:rsidR="00F7270C" w:rsidRPr="00074F4B" w:rsidRDefault="00F7270C" w:rsidP="00BC0C9B">
      <w:pPr>
        <w:pStyle w:val="Akapitzlist"/>
        <w:numPr>
          <w:ilvl w:val="0"/>
          <w:numId w:val="23"/>
        </w:numPr>
        <w:spacing w:before="120" w:after="120" w:line="288" w:lineRule="auto"/>
        <w:rPr>
          <w:rFonts w:ascii="Open Sans" w:hAnsi="Open Sans" w:cs="Open Sans"/>
          <w:bCs/>
          <w:sz w:val="22"/>
        </w:rPr>
      </w:pPr>
      <w:r w:rsidRPr="00074F4B">
        <w:rPr>
          <w:rFonts w:ascii="Open Sans" w:hAnsi="Open Sans" w:cs="Open Sans"/>
          <w:bCs/>
          <w:sz w:val="22"/>
        </w:rPr>
        <w:t>dodatkowe nasadzenia drzew i krzewów na terenie realizacji projektu ponad te, wynikające z rozstrzygnięć administracyjnych.</w:t>
      </w:r>
    </w:p>
    <w:p w14:paraId="646E7180" w14:textId="4E9CC264" w:rsidR="00F7270C" w:rsidRPr="00074F4B" w:rsidRDefault="00F7270C" w:rsidP="00BC0C9B">
      <w:pPr>
        <w:pStyle w:val="Nagwek1"/>
        <w:numPr>
          <w:ilvl w:val="0"/>
          <w:numId w:val="0"/>
        </w:numPr>
        <w:spacing w:line="288" w:lineRule="auto"/>
        <w:ind w:left="709" w:hanging="709"/>
        <w:rPr>
          <w:rFonts w:ascii="Open Sans" w:hAnsi="Open Sans" w:cs="Open Sans"/>
          <w:sz w:val="22"/>
          <w:szCs w:val="22"/>
        </w:rPr>
      </w:pPr>
      <w:r w:rsidRPr="00074F4B">
        <w:rPr>
          <w:rFonts w:ascii="Open Sans" w:hAnsi="Open Sans" w:cs="Open Sans"/>
          <w:sz w:val="22"/>
          <w:szCs w:val="22"/>
        </w:rPr>
        <w:t xml:space="preserve">7.5.1. Strategiczna ocena oddziaływania na środowisko (zgodnie z Dyrektywą 2001/42/WE) planów i programów, z których wynika realizacja przedsięwzięcia </w:t>
      </w:r>
    </w:p>
    <w:p w14:paraId="7C053987" w14:textId="77777777" w:rsidR="00F7270C" w:rsidRPr="00074F4B" w:rsidRDefault="00F7270C" w:rsidP="00BC0C9B">
      <w:pPr>
        <w:spacing w:before="360" w:after="120" w:line="288" w:lineRule="auto"/>
        <w:ind w:left="0" w:firstLine="0"/>
        <w:rPr>
          <w:rFonts w:ascii="Open Sans" w:hAnsi="Open Sans" w:cs="Open Sans"/>
          <w:bCs/>
          <w:sz w:val="22"/>
        </w:rPr>
      </w:pPr>
      <w:r w:rsidRPr="00074F4B">
        <w:rPr>
          <w:rFonts w:ascii="Open Sans" w:hAnsi="Open Sans" w:cs="Open Sans"/>
          <w:bCs/>
          <w:sz w:val="22"/>
        </w:rPr>
        <w:t>Należy wskazać, które przedsięwzięcia w ramach projektu wymagały przeprowadzenia strategicznej oceny oddziaływania na środowisko.</w:t>
      </w:r>
    </w:p>
    <w:p w14:paraId="6F7CDDCF" w14:textId="1C7B0625"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Postępowanie w sprawie oceny oddziaływania skutków realizacji niektórych planów i</w:t>
      </w:r>
      <w:r w:rsidR="000A654B">
        <w:rPr>
          <w:rFonts w:ascii="Open Sans" w:hAnsi="Open Sans" w:cs="Open Sans"/>
          <w:bCs/>
          <w:sz w:val="22"/>
        </w:rPr>
        <w:t> </w:t>
      </w:r>
      <w:r w:rsidRPr="00074F4B">
        <w:rPr>
          <w:rFonts w:ascii="Open Sans" w:hAnsi="Open Sans" w:cs="Open Sans"/>
          <w:bCs/>
          <w:sz w:val="22"/>
        </w:rPr>
        <w:t xml:space="preserve">programów na środowisko, czyli tzw. strategiczna ocena oddziaływania na środowisko (SOOŚ), uregulowane jest w dziale “IV Strategiczna ocena oddziaływania na środowisko” ustawy </w:t>
      </w:r>
      <w:proofErr w:type="spellStart"/>
      <w:r w:rsidRPr="00074F4B">
        <w:rPr>
          <w:rFonts w:ascii="Open Sans" w:hAnsi="Open Sans" w:cs="Open Sans"/>
          <w:bCs/>
          <w:sz w:val="22"/>
        </w:rPr>
        <w:t>ooś</w:t>
      </w:r>
      <w:proofErr w:type="spellEnd"/>
      <w:r w:rsidRPr="00074F4B">
        <w:rPr>
          <w:rFonts w:ascii="Open Sans" w:hAnsi="Open Sans" w:cs="Open Sans"/>
          <w:bCs/>
          <w:sz w:val="22"/>
        </w:rPr>
        <w:t>. SOOŚ obejmuje w szczególności:</w:t>
      </w:r>
    </w:p>
    <w:p w14:paraId="24565273" w14:textId="3644DC4E" w:rsidR="00F7270C" w:rsidRPr="00074F4B" w:rsidRDefault="00F7270C" w:rsidP="00BC0C9B">
      <w:pPr>
        <w:pStyle w:val="Akapitzlist"/>
        <w:numPr>
          <w:ilvl w:val="0"/>
          <w:numId w:val="24"/>
        </w:numPr>
        <w:spacing w:before="120" w:after="120" w:line="288" w:lineRule="auto"/>
        <w:rPr>
          <w:rFonts w:ascii="Open Sans" w:hAnsi="Open Sans" w:cs="Open Sans"/>
          <w:bCs/>
          <w:sz w:val="22"/>
        </w:rPr>
      </w:pPr>
      <w:r w:rsidRPr="00074F4B">
        <w:rPr>
          <w:rFonts w:ascii="Open Sans" w:hAnsi="Open Sans" w:cs="Open Sans"/>
          <w:bCs/>
          <w:sz w:val="22"/>
        </w:rPr>
        <w:t>uzgodnienie stopnia szczegółowości informacji zawartych w prognozie oddziaływania na środowisko,</w:t>
      </w:r>
    </w:p>
    <w:p w14:paraId="1EA5D02F" w14:textId="0AD08927" w:rsidR="00F7270C" w:rsidRPr="00074F4B" w:rsidRDefault="00F7270C" w:rsidP="00BC0C9B">
      <w:pPr>
        <w:pStyle w:val="Akapitzlist"/>
        <w:numPr>
          <w:ilvl w:val="0"/>
          <w:numId w:val="24"/>
        </w:numPr>
        <w:spacing w:before="120" w:after="120" w:line="288" w:lineRule="auto"/>
        <w:rPr>
          <w:rFonts w:ascii="Open Sans" w:hAnsi="Open Sans" w:cs="Open Sans"/>
          <w:bCs/>
          <w:sz w:val="22"/>
        </w:rPr>
      </w:pPr>
      <w:r w:rsidRPr="00074F4B">
        <w:rPr>
          <w:rFonts w:ascii="Open Sans" w:hAnsi="Open Sans" w:cs="Open Sans"/>
          <w:bCs/>
          <w:sz w:val="22"/>
        </w:rPr>
        <w:t>sporządzenie prognozy oddziaływania na środowisko,</w:t>
      </w:r>
    </w:p>
    <w:p w14:paraId="5A305CB6" w14:textId="66AEC3D4" w:rsidR="00F7270C" w:rsidRPr="00074F4B" w:rsidRDefault="00F7270C" w:rsidP="00BC0C9B">
      <w:pPr>
        <w:pStyle w:val="Akapitzlist"/>
        <w:numPr>
          <w:ilvl w:val="0"/>
          <w:numId w:val="24"/>
        </w:numPr>
        <w:spacing w:before="120" w:after="120" w:line="288" w:lineRule="auto"/>
        <w:rPr>
          <w:rFonts w:ascii="Open Sans" w:hAnsi="Open Sans" w:cs="Open Sans"/>
          <w:bCs/>
          <w:sz w:val="22"/>
        </w:rPr>
      </w:pPr>
      <w:r w:rsidRPr="00074F4B">
        <w:rPr>
          <w:rFonts w:ascii="Open Sans" w:hAnsi="Open Sans" w:cs="Open Sans"/>
          <w:bCs/>
          <w:sz w:val="22"/>
        </w:rPr>
        <w:t>uzyskanie wymaganych ustawą opinii,</w:t>
      </w:r>
    </w:p>
    <w:p w14:paraId="15EF7FEB" w14:textId="3A6EFAEA" w:rsidR="00F7270C" w:rsidRPr="00074F4B" w:rsidRDefault="00F7270C" w:rsidP="00BC0C9B">
      <w:pPr>
        <w:pStyle w:val="Akapitzlist"/>
        <w:numPr>
          <w:ilvl w:val="0"/>
          <w:numId w:val="24"/>
        </w:numPr>
        <w:spacing w:before="120" w:after="120" w:line="288" w:lineRule="auto"/>
        <w:rPr>
          <w:rFonts w:ascii="Open Sans" w:hAnsi="Open Sans" w:cs="Open Sans"/>
          <w:bCs/>
          <w:sz w:val="22"/>
        </w:rPr>
      </w:pPr>
      <w:r w:rsidRPr="00074F4B">
        <w:rPr>
          <w:rFonts w:ascii="Open Sans" w:hAnsi="Open Sans" w:cs="Open Sans"/>
          <w:bCs/>
          <w:sz w:val="22"/>
        </w:rPr>
        <w:t>zapewnienie możliwości udziału społeczeństwa w postępowaniu.</w:t>
      </w:r>
    </w:p>
    <w:p w14:paraId="200B22AE" w14:textId="77777777" w:rsidR="00F7270C"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Do projektów wymagających przeprowadzenia SOOŚ zaliczamy m. in.:</w:t>
      </w:r>
    </w:p>
    <w:p w14:paraId="663E2B8D" w14:textId="029239D8" w:rsidR="00F7270C" w:rsidRPr="00074F4B" w:rsidRDefault="00F7270C" w:rsidP="00BC0C9B">
      <w:pPr>
        <w:pStyle w:val="Akapitzlist"/>
        <w:numPr>
          <w:ilvl w:val="0"/>
          <w:numId w:val="25"/>
        </w:numPr>
        <w:spacing w:before="120" w:after="120" w:line="288" w:lineRule="auto"/>
        <w:rPr>
          <w:rFonts w:ascii="Open Sans" w:hAnsi="Open Sans" w:cs="Open Sans"/>
          <w:bCs/>
          <w:sz w:val="22"/>
        </w:rPr>
      </w:pPr>
      <w:r w:rsidRPr="00074F4B">
        <w:rPr>
          <w:rFonts w:ascii="Open Sans" w:hAnsi="Open Sans" w:cs="Open Sans"/>
          <w:bCs/>
          <w:sz w:val="22"/>
        </w:rPr>
        <w:t>studium uwarunkowań i kierunków zagospodarowania przestrzennego gminy oraz planu zagospodarowania przestrzennego, wyznaczający ramy dla późniejszej realizacji 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p>
    <w:p w14:paraId="7A199EDB" w14:textId="2908B9F7" w:rsidR="00F7270C" w:rsidRPr="00074F4B" w:rsidRDefault="00F7270C" w:rsidP="00BC0C9B">
      <w:pPr>
        <w:pStyle w:val="Akapitzlist"/>
        <w:numPr>
          <w:ilvl w:val="0"/>
          <w:numId w:val="25"/>
        </w:numPr>
        <w:spacing w:before="120" w:after="120" w:line="288" w:lineRule="auto"/>
        <w:rPr>
          <w:rFonts w:ascii="Open Sans" w:hAnsi="Open Sans" w:cs="Open Sans"/>
          <w:bCs/>
          <w:sz w:val="22"/>
        </w:rPr>
      </w:pPr>
      <w:r w:rsidRPr="00074F4B">
        <w:rPr>
          <w:rFonts w:ascii="Open Sans" w:hAnsi="Open Sans" w:cs="Open Sans"/>
          <w:bCs/>
          <w:sz w:val="22"/>
        </w:rPr>
        <w:t>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43F02135" w14:textId="0DB9738C" w:rsidR="00F7270C" w:rsidRPr="00074F4B" w:rsidRDefault="00F7270C" w:rsidP="00BC0C9B">
      <w:pPr>
        <w:pStyle w:val="Akapitzlist"/>
        <w:numPr>
          <w:ilvl w:val="0"/>
          <w:numId w:val="25"/>
        </w:numPr>
        <w:spacing w:before="120" w:after="120" w:line="288" w:lineRule="auto"/>
        <w:rPr>
          <w:rFonts w:ascii="Open Sans" w:hAnsi="Open Sans" w:cs="Open Sans"/>
          <w:bCs/>
          <w:sz w:val="22"/>
        </w:rPr>
      </w:pPr>
      <w:r w:rsidRPr="00074F4B">
        <w:rPr>
          <w:rFonts w:ascii="Open Sans" w:hAnsi="Open Sans" w:cs="Open Sans"/>
          <w:bCs/>
          <w:sz w:val="22"/>
        </w:rPr>
        <w:t xml:space="preserve">polityki, strategii, planu i programu innego niż wymienione w </w:t>
      </w:r>
      <w:proofErr w:type="spellStart"/>
      <w:r w:rsidRPr="00074F4B">
        <w:rPr>
          <w:rFonts w:ascii="Open Sans" w:hAnsi="Open Sans" w:cs="Open Sans"/>
          <w:bCs/>
          <w:sz w:val="22"/>
        </w:rPr>
        <w:t>tiret</w:t>
      </w:r>
      <w:proofErr w:type="spellEnd"/>
      <w:r w:rsidRPr="00074F4B">
        <w:rPr>
          <w:rFonts w:ascii="Open Sans" w:hAnsi="Open Sans" w:cs="Open Sans"/>
          <w:bCs/>
          <w:sz w:val="22"/>
        </w:rPr>
        <w:t xml:space="preserve"> 1 i 2, którego realizacja może spowodować znaczące oddziaływanie na obszar Natura 2000, jeżeli nie jest on bezpośrednio związany z ochroną obszaru Natura 2000 lub nie wynika z tej ochrony.</w:t>
      </w:r>
    </w:p>
    <w:p w14:paraId="662D5AF4" w14:textId="53E7188E" w:rsidR="00653625" w:rsidRPr="00074F4B" w:rsidRDefault="00F7270C" w:rsidP="00BC0C9B">
      <w:pPr>
        <w:spacing w:before="120" w:after="120" w:line="288" w:lineRule="auto"/>
        <w:ind w:left="0" w:firstLine="0"/>
        <w:rPr>
          <w:rFonts w:ascii="Open Sans" w:hAnsi="Open Sans" w:cs="Open Sans"/>
          <w:bCs/>
          <w:sz w:val="22"/>
        </w:rPr>
      </w:pPr>
      <w:r w:rsidRPr="00074F4B">
        <w:rPr>
          <w:rFonts w:ascii="Open Sans" w:hAnsi="Open Sans" w:cs="Open Sans"/>
          <w:bCs/>
          <w:sz w:val="22"/>
        </w:rPr>
        <w:t xml:space="preserve">Daną politykę, strategię, plan lub program kwalifikuje się do poddania procedurze oceny według kryteriów określonych w ustawie </w:t>
      </w:r>
      <w:proofErr w:type="spellStart"/>
      <w:r w:rsidRPr="00074F4B">
        <w:rPr>
          <w:rFonts w:ascii="Open Sans" w:hAnsi="Open Sans" w:cs="Open Sans"/>
          <w:bCs/>
          <w:sz w:val="22"/>
        </w:rPr>
        <w:t>ooś</w:t>
      </w:r>
      <w:proofErr w:type="spellEnd"/>
      <w:r w:rsidRPr="00074F4B">
        <w:rPr>
          <w:rFonts w:ascii="Open Sans" w:hAnsi="Open Sans" w:cs="Open Sans"/>
          <w:bCs/>
          <w:sz w:val="22"/>
        </w:rPr>
        <w:t xml:space="preserve">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w:t>
      </w:r>
      <w:proofErr w:type="spellStart"/>
      <w:r w:rsidRPr="00074F4B">
        <w:rPr>
          <w:rFonts w:ascii="Open Sans" w:hAnsi="Open Sans" w:cs="Open Sans"/>
          <w:bCs/>
          <w:sz w:val="22"/>
        </w:rPr>
        <w:t>ooś</w:t>
      </w:r>
      <w:proofErr w:type="spellEnd"/>
      <w:r w:rsidRPr="00074F4B">
        <w:rPr>
          <w:rFonts w:ascii="Open Sans" w:hAnsi="Open Sans" w:cs="Open Sans"/>
          <w:bCs/>
          <w:sz w:val="22"/>
        </w:rPr>
        <w:t>.</w:t>
      </w:r>
    </w:p>
    <w:sectPr w:rsidR="00653625" w:rsidRPr="00074F4B" w:rsidSect="005007A7">
      <w:headerReference w:type="default" r:id="rId23"/>
      <w:footerReference w:type="even" r:id="rId24"/>
      <w:footerReference w:type="default" r:id="rId25"/>
      <w:footerReference w:type="first" r:id="rId26"/>
      <w:pgSz w:w="12240" w:h="15840"/>
      <w:pgMar w:top="1125" w:right="1591" w:bottom="1247" w:left="1853" w:header="0" w:footer="113" w:gutter="0"/>
      <w:cols w:space="708"/>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87D1B" w14:textId="77777777" w:rsidR="00995632" w:rsidRDefault="00995632">
      <w:pPr>
        <w:spacing w:after="0" w:line="240" w:lineRule="auto"/>
      </w:pPr>
      <w:r>
        <w:separator/>
      </w:r>
    </w:p>
  </w:endnote>
  <w:endnote w:type="continuationSeparator" w:id="0">
    <w:p w14:paraId="1B1D643B" w14:textId="77777777" w:rsidR="00995632" w:rsidRDefault="00995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panose1 w:val="020B0806030504020204"/>
    <w:charset w:val="EE"/>
    <w:family w:val="auto"/>
    <w:pitch w:val="variable"/>
    <w:sig w:usb0="E00002FF" w:usb1="4000201B" w:usb2="00000028"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AADC" w14:textId="77777777" w:rsidR="004170C7" w:rsidRDefault="002B5A4C">
    <w:pPr>
      <w:tabs>
        <w:tab w:val="right" w:pos="8796"/>
      </w:tabs>
      <w:spacing w:after="0" w:line="259" w:lineRule="auto"/>
      <w:ind w:left="0" w:firstLine="0"/>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rPr>
      <w:id w:val="1235289030"/>
      <w:docPartObj>
        <w:docPartGallery w:val="Page Numbers (Bottom of Page)"/>
        <w:docPartUnique/>
      </w:docPartObj>
    </w:sdtPr>
    <w:sdtContent>
      <w:sdt>
        <w:sdtPr>
          <w:rPr>
            <w:rFonts w:ascii="Open Sans" w:hAnsi="Open Sans" w:cs="Open Sans"/>
          </w:rPr>
          <w:id w:val="1728636285"/>
          <w:docPartObj>
            <w:docPartGallery w:val="Page Numbers (Top of Page)"/>
            <w:docPartUnique/>
          </w:docPartObj>
        </w:sdtPr>
        <w:sdtContent>
          <w:p w14:paraId="53724121" w14:textId="3BA46120" w:rsidR="00501A64" w:rsidRPr="00541EE1" w:rsidRDefault="00501A64">
            <w:pPr>
              <w:pStyle w:val="Stopka"/>
              <w:jc w:val="center"/>
              <w:rPr>
                <w:rFonts w:ascii="Open Sans" w:hAnsi="Open Sans" w:cs="Open Sans"/>
              </w:rPr>
            </w:pPr>
            <w:r w:rsidRPr="00541EE1">
              <w:rPr>
                <w:rFonts w:ascii="Open Sans" w:hAnsi="Open Sans" w:cs="Open Sans"/>
                <w:sz w:val="20"/>
                <w:szCs w:val="20"/>
              </w:rPr>
              <w:t xml:space="preserve">Strona </w:t>
            </w:r>
            <w:r w:rsidRPr="00541EE1">
              <w:rPr>
                <w:rFonts w:ascii="Open Sans" w:hAnsi="Open Sans" w:cs="Open Sans"/>
                <w:sz w:val="20"/>
                <w:szCs w:val="20"/>
              </w:rPr>
              <w:fldChar w:fldCharType="begin"/>
            </w:r>
            <w:r w:rsidRPr="00541EE1">
              <w:rPr>
                <w:rFonts w:ascii="Open Sans" w:hAnsi="Open Sans" w:cs="Open Sans"/>
                <w:sz w:val="20"/>
                <w:szCs w:val="20"/>
              </w:rPr>
              <w:instrText>PAGE</w:instrText>
            </w:r>
            <w:r w:rsidRPr="00541EE1">
              <w:rPr>
                <w:rFonts w:ascii="Open Sans" w:hAnsi="Open Sans" w:cs="Open Sans"/>
                <w:sz w:val="20"/>
                <w:szCs w:val="20"/>
              </w:rPr>
              <w:fldChar w:fldCharType="separate"/>
            </w:r>
            <w:r w:rsidR="00224ED0">
              <w:rPr>
                <w:rFonts w:ascii="Open Sans" w:hAnsi="Open Sans" w:cs="Open Sans"/>
                <w:noProof/>
                <w:sz w:val="20"/>
                <w:szCs w:val="20"/>
              </w:rPr>
              <w:t>1</w:t>
            </w:r>
            <w:r w:rsidRPr="00541EE1">
              <w:rPr>
                <w:rFonts w:ascii="Open Sans" w:hAnsi="Open Sans" w:cs="Open Sans"/>
                <w:sz w:val="20"/>
                <w:szCs w:val="20"/>
              </w:rPr>
              <w:fldChar w:fldCharType="end"/>
            </w:r>
            <w:r w:rsidRPr="00541EE1">
              <w:rPr>
                <w:rFonts w:ascii="Open Sans" w:hAnsi="Open Sans" w:cs="Open Sans"/>
                <w:sz w:val="20"/>
                <w:szCs w:val="20"/>
              </w:rPr>
              <w:t xml:space="preserve"> z </w:t>
            </w:r>
            <w:r w:rsidRPr="00541EE1">
              <w:rPr>
                <w:rFonts w:ascii="Open Sans" w:hAnsi="Open Sans" w:cs="Open Sans"/>
                <w:sz w:val="20"/>
                <w:szCs w:val="20"/>
              </w:rPr>
              <w:fldChar w:fldCharType="begin"/>
            </w:r>
            <w:r w:rsidRPr="00541EE1">
              <w:rPr>
                <w:rFonts w:ascii="Open Sans" w:hAnsi="Open Sans" w:cs="Open Sans"/>
                <w:sz w:val="20"/>
                <w:szCs w:val="20"/>
              </w:rPr>
              <w:instrText>NUMPAGES</w:instrText>
            </w:r>
            <w:r w:rsidRPr="00541EE1">
              <w:rPr>
                <w:rFonts w:ascii="Open Sans" w:hAnsi="Open Sans" w:cs="Open Sans"/>
                <w:sz w:val="20"/>
                <w:szCs w:val="20"/>
              </w:rPr>
              <w:fldChar w:fldCharType="separate"/>
            </w:r>
            <w:r w:rsidR="00224ED0">
              <w:rPr>
                <w:rFonts w:ascii="Open Sans" w:hAnsi="Open Sans" w:cs="Open Sans"/>
                <w:noProof/>
                <w:sz w:val="20"/>
                <w:szCs w:val="20"/>
              </w:rPr>
              <w:t>20</w:t>
            </w:r>
            <w:r w:rsidRPr="00541EE1">
              <w:rPr>
                <w:rFonts w:ascii="Open Sans" w:hAnsi="Open Sans" w:cs="Open Sans"/>
                <w:sz w:val="20"/>
                <w:szCs w:val="20"/>
              </w:rPr>
              <w:fldChar w:fldCharType="end"/>
            </w:r>
          </w:p>
        </w:sdtContent>
      </w:sdt>
    </w:sdtContent>
  </w:sdt>
  <w:p w14:paraId="4019AADD" w14:textId="09E28E1A" w:rsidR="004170C7" w:rsidRPr="00541EE1" w:rsidRDefault="004170C7">
    <w:pPr>
      <w:tabs>
        <w:tab w:val="right" w:pos="8796"/>
      </w:tabs>
      <w:spacing w:after="0" w:line="259" w:lineRule="auto"/>
      <w:ind w:left="0" w:firstLine="0"/>
      <w:rPr>
        <w:rFonts w:ascii="Open Sans" w:hAnsi="Open Sans" w:cs="Open San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AADE" w14:textId="77777777" w:rsidR="004170C7" w:rsidRDefault="002B5A4C">
    <w:pPr>
      <w:tabs>
        <w:tab w:val="right" w:pos="8796"/>
      </w:tabs>
      <w:spacing w:after="0" w:line="259" w:lineRule="auto"/>
      <w:ind w:left="0" w:firstLine="0"/>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02CD6" w14:textId="77777777" w:rsidR="00995632" w:rsidRDefault="00995632">
      <w:pPr>
        <w:spacing w:after="0" w:line="240" w:lineRule="auto"/>
      </w:pPr>
      <w:r>
        <w:separator/>
      </w:r>
    </w:p>
  </w:footnote>
  <w:footnote w:type="continuationSeparator" w:id="0">
    <w:p w14:paraId="441E9CDE" w14:textId="77777777" w:rsidR="00995632" w:rsidRDefault="009956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8B1BF" w14:textId="416FE0ED" w:rsidR="004A7942" w:rsidRDefault="005007A7" w:rsidP="00EE09D2">
    <w:pPr>
      <w:pStyle w:val="Nagwek"/>
      <w:ind w:left="0" w:firstLine="0"/>
      <w:rPr>
        <w:rFonts w:asciiTheme="minorHAnsi" w:hAnsiTheme="minorHAnsi"/>
        <w:sz w:val="20"/>
        <w:szCs w:val="20"/>
      </w:rPr>
    </w:pPr>
    <w:r w:rsidRPr="007D38D8">
      <w:rPr>
        <w:noProof/>
      </w:rPr>
      <w:drawing>
        <wp:inline distT="0" distB="0" distL="0" distR="0" wp14:anchorId="7C14CBDF" wp14:editId="09AF4449">
          <wp:extent cx="5585460" cy="717602"/>
          <wp:effectExtent l="0" t="0" r="0" b="6350"/>
          <wp:docPr id="2" name="Picture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5460" cy="7176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11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BA7F5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F8471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721DB"/>
    <w:multiLevelType w:val="hybridMultilevel"/>
    <w:tmpl w:val="7DB61BF6"/>
    <w:lvl w:ilvl="0" w:tplc="8F96D05A">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DC7E5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4C67C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7702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503DCC"/>
    <w:multiLevelType w:val="hybridMultilevel"/>
    <w:tmpl w:val="C48A99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5A3FB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3E5B0F"/>
    <w:multiLevelType w:val="multilevel"/>
    <w:tmpl w:val="E43C970C"/>
    <w:lvl w:ilvl="0">
      <w:start w:val="2"/>
      <w:numFmt w:val="decimal"/>
      <w:lvlText w:val="%1"/>
      <w:lvlJc w:val="left"/>
      <w:pPr>
        <w:ind w:left="360" w:hanging="360"/>
      </w:pPr>
      <w:rPr>
        <w:rFonts w:hint="default"/>
      </w:rPr>
    </w:lvl>
    <w:lvl w:ilvl="1">
      <w:start w:val="1"/>
      <w:numFmt w:val="decimal"/>
      <w:lvlText w:val="%1.%2"/>
      <w:lvlJc w:val="left"/>
      <w:pPr>
        <w:ind w:left="1134" w:hanging="567"/>
      </w:pPr>
      <w:rPr>
        <w:rFonts w:ascii="Calibri" w:hAnsi="Calibri" w:cs="Calibri" w:hint="default"/>
      </w:rPr>
    </w:lvl>
    <w:lvl w:ilvl="2">
      <w:start w:val="1"/>
      <w:numFmt w:val="decimal"/>
      <w:lvlText w:val="%1.%2.%3"/>
      <w:lvlJc w:val="left"/>
      <w:pPr>
        <w:ind w:left="2552" w:hanging="567"/>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0" w15:restartNumberingAfterBreak="0">
    <w:nsid w:val="2519798E"/>
    <w:multiLevelType w:val="hybridMultilevel"/>
    <w:tmpl w:val="365A74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6605E2"/>
    <w:multiLevelType w:val="hybridMultilevel"/>
    <w:tmpl w:val="D3E0B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03036F"/>
    <w:multiLevelType w:val="hybridMultilevel"/>
    <w:tmpl w:val="94C60FCA"/>
    <w:lvl w:ilvl="0" w:tplc="962241DA">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A76264A"/>
    <w:multiLevelType w:val="hybridMultilevel"/>
    <w:tmpl w:val="6BA8838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FA5043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FC021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0381B7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18566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374EE"/>
    <w:multiLevelType w:val="multilevel"/>
    <w:tmpl w:val="8BF496CE"/>
    <w:lvl w:ilvl="0">
      <w:start w:val="7"/>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64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F10FE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5C12F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4336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8AC51B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4A6217"/>
    <w:multiLevelType w:val="hybridMultilevel"/>
    <w:tmpl w:val="CF104430"/>
    <w:lvl w:ilvl="0" w:tplc="8F96D05A">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6A3A5B"/>
    <w:multiLevelType w:val="hybridMultilevel"/>
    <w:tmpl w:val="473AF8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842AA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D586DB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713"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6B9452F"/>
    <w:multiLevelType w:val="hybridMultilevel"/>
    <w:tmpl w:val="C018F6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B2117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938737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365CF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CD9428E"/>
    <w:multiLevelType w:val="multilevel"/>
    <w:tmpl w:val="889A09F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DE84F9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E4A14D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EA368E0"/>
    <w:multiLevelType w:val="multilevel"/>
    <w:tmpl w:val="09AEDC88"/>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6" w15:restartNumberingAfterBreak="0">
    <w:nsid w:val="5F49451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20E6CFE"/>
    <w:multiLevelType w:val="multilevel"/>
    <w:tmpl w:val="1096CC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4AC6674"/>
    <w:multiLevelType w:val="hybridMultilevel"/>
    <w:tmpl w:val="22706794"/>
    <w:lvl w:ilvl="0" w:tplc="962241DA">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6476F2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9564EEB"/>
    <w:multiLevelType w:val="hybridMultilevel"/>
    <w:tmpl w:val="18086BC8"/>
    <w:lvl w:ilvl="0" w:tplc="6AA00A42">
      <w:start w:val="1"/>
      <w:numFmt w:val="decimal"/>
      <w:pStyle w:val="Nagwek1"/>
      <w:lvlText w:val="%1."/>
      <w:lvlJc w:val="left"/>
      <w:pPr>
        <w:ind w:left="0"/>
      </w:pPr>
      <w:rPr>
        <w:rFonts w:asciiTheme="minorHAnsi" w:eastAsia="Times New Roman"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41" w15:restartNumberingAfterBreak="0">
    <w:nsid w:val="69757A4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801B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DB877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0DF79C5"/>
    <w:multiLevelType w:val="multilevel"/>
    <w:tmpl w:val="1096CC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1760524"/>
    <w:multiLevelType w:val="hybridMultilevel"/>
    <w:tmpl w:val="EDC40B48"/>
    <w:lvl w:ilvl="0" w:tplc="8F96D05A">
      <w:start w:val="1"/>
      <w:numFmt w:val="bullet"/>
      <w:lvlText w:val=""/>
      <w:lvlJc w:val="left"/>
      <w:pPr>
        <w:ind w:left="774" w:hanging="360"/>
      </w:pPr>
      <w:rPr>
        <w:rFonts w:ascii="Symbol" w:hAnsi="Symbol" w:cs="Times New Roman"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6" w15:restartNumberingAfterBreak="0">
    <w:nsid w:val="71DE14A4"/>
    <w:multiLevelType w:val="hybridMultilevel"/>
    <w:tmpl w:val="71AA0DF4"/>
    <w:lvl w:ilvl="0" w:tplc="962241DA">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260200A"/>
    <w:multiLevelType w:val="hybridMultilevel"/>
    <w:tmpl w:val="CD1C5B58"/>
    <w:lvl w:ilvl="0" w:tplc="8F96D05A">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53F33F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5C13D9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B35720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04701142">
    <w:abstractNumId w:val="40"/>
  </w:num>
  <w:num w:numId="2" w16cid:durableId="765881816">
    <w:abstractNumId w:val="27"/>
  </w:num>
  <w:num w:numId="3" w16cid:durableId="1495487326">
    <w:abstractNumId w:val="9"/>
  </w:num>
  <w:num w:numId="4" w16cid:durableId="364718472">
    <w:abstractNumId w:val="37"/>
  </w:num>
  <w:num w:numId="5" w16cid:durableId="1988892790">
    <w:abstractNumId w:val="44"/>
  </w:num>
  <w:num w:numId="6" w16cid:durableId="1488522332">
    <w:abstractNumId w:val="9"/>
    <w:lvlOverride w:ilvl="0">
      <w:lvl w:ilvl="0">
        <w:start w:val="2"/>
        <w:numFmt w:val="decimal"/>
        <w:lvlText w:val="%1"/>
        <w:lvlJc w:val="left"/>
        <w:pPr>
          <w:ind w:left="360" w:hanging="360"/>
        </w:pPr>
        <w:rPr>
          <w:rFonts w:hint="default"/>
        </w:rPr>
      </w:lvl>
    </w:lvlOverride>
    <w:lvlOverride w:ilvl="1">
      <w:lvl w:ilvl="1">
        <w:start w:val="1"/>
        <w:numFmt w:val="decimal"/>
        <w:lvlText w:val="%1.%2"/>
        <w:lvlJc w:val="left"/>
        <w:pPr>
          <w:ind w:left="1134" w:hanging="567"/>
        </w:pPr>
        <w:rPr>
          <w:rFonts w:ascii="Calibri" w:hAnsi="Calibri" w:cs="Calibri" w:hint="default"/>
        </w:rPr>
      </w:lvl>
    </w:lvlOverride>
    <w:lvlOverride w:ilvl="2">
      <w:lvl w:ilvl="2">
        <w:start w:val="1"/>
        <w:numFmt w:val="decimal"/>
        <w:lvlText w:val="%1.%2.%3"/>
        <w:lvlJc w:val="left"/>
        <w:pPr>
          <w:ind w:left="2268" w:hanging="850"/>
        </w:pPr>
        <w:rPr>
          <w:rFonts w:hint="default"/>
        </w:rPr>
      </w:lvl>
    </w:lvlOverride>
    <w:lvlOverride w:ilvl="3">
      <w:lvl w:ilvl="3">
        <w:start w:val="1"/>
        <w:numFmt w:val="decimal"/>
        <w:lvlText w:val="%1.%2.%3.%4"/>
        <w:lvlJc w:val="left"/>
        <w:pPr>
          <w:ind w:left="3096" w:hanging="72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040" w:hanging="108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6984" w:hanging="1440"/>
        </w:pPr>
        <w:rPr>
          <w:rFonts w:hint="default"/>
        </w:rPr>
      </w:lvl>
    </w:lvlOverride>
    <w:lvlOverride w:ilvl="8">
      <w:lvl w:ilvl="8">
        <w:start w:val="1"/>
        <w:numFmt w:val="decimal"/>
        <w:lvlText w:val="%1.%2.%3.%4.%5.%6.%7.%8.%9"/>
        <w:lvlJc w:val="left"/>
        <w:pPr>
          <w:ind w:left="8136" w:hanging="1800"/>
        </w:pPr>
        <w:rPr>
          <w:rFonts w:hint="default"/>
        </w:rPr>
      </w:lvl>
    </w:lvlOverride>
  </w:num>
  <w:num w:numId="7" w16cid:durableId="458763754">
    <w:abstractNumId w:val="35"/>
  </w:num>
  <w:num w:numId="8" w16cid:durableId="176777261">
    <w:abstractNumId w:val="36"/>
  </w:num>
  <w:num w:numId="9" w16cid:durableId="1173761050">
    <w:abstractNumId w:val="22"/>
  </w:num>
  <w:num w:numId="10" w16cid:durableId="344793663">
    <w:abstractNumId w:val="4"/>
  </w:num>
  <w:num w:numId="11" w16cid:durableId="1415929174">
    <w:abstractNumId w:val="16"/>
  </w:num>
  <w:num w:numId="12" w16cid:durableId="72169964">
    <w:abstractNumId w:val="19"/>
  </w:num>
  <w:num w:numId="13" w16cid:durableId="1676884731">
    <w:abstractNumId w:val="0"/>
  </w:num>
  <w:num w:numId="14" w16cid:durableId="1577322354">
    <w:abstractNumId w:val="31"/>
  </w:num>
  <w:num w:numId="15" w16cid:durableId="1838617455">
    <w:abstractNumId w:val="20"/>
  </w:num>
  <w:num w:numId="16" w16cid:durableId="89012902">
    <w:abstractNumId w:val="30"/>
  </w:num>
  <w:num w:numId="17" w16cid:durableId="534660322">
    <w:abstractNumId w:val="50"/>
  </w:num>
  <w:num w:numId="18" w16cid:durableId="784270668">
    <w:abstractNumId w:val="46"/>
  </w:num>
  <w:num w:numId="19" w16cid:durableId="732974278">
    <w:abstractNumId w:val="12"/>
  </w:num>
  <w:num w:numId="20" w16cid:durableId="1189102921">
    <w:abstractNumId w:val="24"/>
  </w:num>
  <w:num w:numId="21" w16cid:durableId="287589705">
    <w:abstractNumId w:val="7"/>
  </w:num>
  <w:num w:numId="22" w16cid:durableId="1468623549">
    <w:abstractNumId w:val="10"/>
  </w:num>
  <w:num w:numId="23" w16cid:durableId="819077645">
    <w:abstractNumId w:val="13"/>
  </w:num>
  <w:num w:numId="24" w16cid:durableId="496464196">
    <w:abstractNumId w:val="11"/>
  </w:num>
  <w:num w:numId="25" w16cid:durableId="544294544">
    <w:abstractNumId w:val="38"/>
  </w:num>
  <w:num w:numId="26" w16cid:durableId="1222909844">
    <w:abstractNumId w:val="48"/>
  </w:num>
  <w:num w:numId="27" w16cid:durableId="1663045387">
    <w:abstractNumId w:val="43"/>
  </w:num>
  <w:num w:numId="28" w16cid:durableId="1501656990">
    <w:abstractNumId w:val="41"/>
  </w:num>
  <w:num w:numId="29" w16cid:durableId="1160383971">
    <w:abstractNumId w:val="5"/>
  </w:num>
  <w:num w:numId="30" w16cid:durableId="639844611">
    <w:abstractNumId w:val="8"/>
  </w:num>
  <w:num w:numId="31" w16cid:durableId="1299651728">
    <w:abstractNumId w:val="34"/>
  </w:num>
  <w:num w:numId="32" w16cid:durableId="820926749">
    <w:abstractNumId w:val="14"/>
  </w:num>
  <w:num w:numId="33" w16cid:durableId="81073148">
    <w:abstractNumId w:val="21"/>
  </w:num>
  <w:num w:numId="34" w16cid:durableId="83916094">
    <w:abstractNumId w:val="17"/>
  </w:num>
  <w:num w:numId="35" w16cid:durableId="684601870">
    <w:abstractNumId w:val="15"/>
  </w:num>
  <w:num w:numId="36" w16cid:durableId="148526073">
    <w:abstractNumId w:val="33"/>
  </w:num>
  <w:num w:numId="37" w16cid:durableId="16661588">
    <w:abstractNumId w:val="42"/>
  </w:num>
  <w:num w:numId="38" w16cid:durableId="1374772367">
    <w:abstractNumId w:val="2"/>
  </w:num>
  <w:num w:numId="39" w16cid:durableId="753167850">
    <w:abstractNumId w:val="6"/>
  </w:num>
  <w:num w:numId="40" w16cid:durableId="694767835">
    <w:abstractNumId w:val="26"/>
  </w:num>
  <w:num w:numId="41" w16cid:durableId="834031900">
    <w:abstractNumId w:val="39"/>
  </w:num>
  <w:num w:numId="42" w16cid:durableId="659162450">
    <w:abstractNumId w:val="49"/>
  </w:num>
  <w:num w:numId="43" w16cid:durableId="312682597">
    <w:abstractNumId w:val="25"/>
  </w:num>
  <w:num w:numId="44" w16cid:durableId="440994690">
    <w:abstractNumId w:val="1"/>
  </w:num>
  <w:num w:numId="45" w16cid:durableId="1513954632">
    <w:abstractNumId w:val="29"/>
  </w:num>
  <w:num w:numId="46" w16cid:durableId="688406930">
    <w:abstractNumId w:val="3"/>
  </w:num>
  <w:num w:numId="47" w16cid:durableId="1364286333">
    <w:abstractNumId w:val="23"/>
  </w:num>
  <w:num w:numId="48" w16cid:durableId="1203905618">
    <w:abstractNumId w:val="28"/>
  </w:num>
  <w:num w:numId="49" w16cid:durableId="1900749097">
    <w:abstractNumId w:val="47"/>
  </w:num>
  <w:num w:numId="50" w16cid:durableId="2034768865">
    <w:abstractNumId w:val="45"/>
  </w:num>
  <w:num w:numId="51" w16cid:durableId="1831019612">
    <w:abstractNumId w:val="18"/>
  </w:num>
  <w:num w:numId="52" w16cid:durableId="1961060164">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0C7"/>
    <w:rsid w:val="00002611"/>
    <w:rsid w:val="000030E1"/>
    <w:rsid w:val="00004B55"/>
    <w:rsid w:val="00014C8A"/>
    <w:rsid w:val="00023E74"/>
    <w:rsid w:val="000356C9"/>
    <w:rsid w:val="0003768E"/>
    <w:rsid w:val="00072050"/>
    <w:rsid w:val="00074F4B"/>
    <w:rsid w:val="000758E3"/>
    <w:rsid w:val="000819D2"/>
    <w:rsid w:val="00084A5C"/>
    <w:rsid w:val="000A654B"/>
    <w:rsid w:val="000B6006"/>
    <w:rsid w:val="00102ABE"/>
    <w:rsid w:val="001218AA"/>
    <w:rsid w:val="00125357"/>
    <w:rsid w:val="00126E67"/>
    <w:rsid w:val="00136A59"/>
    <w:rsid w:val="0016127C"/>
    <w:rsid w:val="0017685F"/>
    <w:rsid w:val="00176EBB"/>
    <w:rsid w:val="00177B5F"/>
    <w:rsid w:val="00182A43"/>
    <w:rsid w:val="00184FDD"/>
    <w:rsid w:val="00194301"/>
    <w:rsid w:val="00197D2B"/>
    <w:rsid w:val="001A6912"/>
    <w:rsid w:val="001C4AAB"/>
    <w:rsid w:val="001C671C"/>
    <w:rsid w:val="001D7448"/>
    <w:rsid w:val="001D7EC8"/>
    <w:rsid w:val="001E6788"/>
    <w:rsid w:val="001F4DDC"/>
    <w:rsid w:val="00215441"/>
    <w:rsid w:val="00215D47"/>
    <w:rsid w:val="00216695"/>
    <w:rsid w:val="0022189E"/>
    <w:rsid w:val="0022340A"/>
    <w:rsid w:val="00224ED0"/>
    <w:rsid w:val="00275882"/>
    <w:rsid w:val="0028257F"/>
    <w:rsid w:val="002935D5"/>
    <w:rsid w:val="002A0DA4"/>
    <w:rsid w:val="002A18DA"/>
    <w:rsid w:val="002A406B"/>
    <w:rsid w:val="002B5A4C"/>
    <w:rsid w:val="002C45BF"/>
    <w:rsid w:val="002D14DB"/>
    <w:rsid w:val="002D5B4F"/>
    <w:rsid w:val="002F1C12"/>
    <w:rsid w:val="00310B03"/>
    <w:rsid w:val="00313B9A"/>
    <w:rsid w:val="00325C1B"/>
    <w:rsid w:val="00342BAC"/>
    <w:rsid w:val="00347B8D"/>
    <w:rsid w:val="0035125E"/>
    <w:rsid w:val="00355207"/>
    <w:rsid w:val="003665AB"/>
    <w:rsid w:val="00392EFC"/>
    <w:rsid w:val="003A2EF7"/>
    <w:rsid w:val="003A3C3C"/>
    <w:rsid w:val="003C4704"/>
    <w:rsid w:val="003C709D"/>
    <w:rsid w:val="003D2A6A"/>
    <w:rsid w:val="003E3415"/>
    <w:rsid w:val="003F0EFF"/>
    <w:rsid w:val="003F6CBB"/>
    <w:rsid w:val="00407AA6"/>
    <w:rsid w:val="00411EF7"/>
    <w:rsid w:val="00413BB4"/>
    <w:rsid w:val="004170C7"/>
    <w:rsid w:val="00437501"/>
    <w:rsid w:val="004600D4"/>
    <w:rsid w:val="0046022A"/>
    <w:rsid w:val="00461D0B"/>
    <w:rsid w:val="00464178"/>
    <w:rsid w:val="00482969"/>
    <w:rsid w:val="00482A02"/>
    <w:rsid w:val="004902F5"/>
    <w:rsid w:val="004A04AD"/>
    <w:rsid w:val="004A2A80"/>
    <w:rsid w:val="004A7942"/>
    <w:rsid w:val="004B21E1"/>
    <w:rsid w:val="004B47A3"/>
    <w:rsid w:val="004B731B"/>
    <w:rsid w:val="004D06AC"/>
    <w:rsid w:val="004D5F3F"/>
    <w:rsid w:val="005007A7"/>
    <w:rsid w:val="00501A64"/>
    <w:rsid w:val="00502481"/>
    <w:rsid w:val="0050401E"/>
    <w:rsid w:val="005123FB"/>
    <w:rsid w:val="00513A45"/>
    <w:rsid w:val="005205EC"/>
    <w:rsid w:val="00522AD9"/>
    <w:rsid w:val="005256E4"/>
    <w:rsid w:val="005317F3"/>
    <w:rsid w:val="0054084A"/>
    <w:rsid w:val="00541136"/>
    <w:rsid w:val="00541EE1"/>
    <w:rsid w:val="005535E5"/>
    <w:rsid w:val="00573FCD"/>
    <w:rsid w:val="00580948"/>
    <w:rsid w:val="00592507"/>
    <w:rsid w:val="005A1185"/>
    <w:rsid w:val="005A4015"/>
    <w:rsid w:val="005B40D7"/>
    <w:rsid w:val="005B76F8"/>
    <w:rsid w:val="005F3358"/>
    <w:rsid w:val="00603F76"/>
    <w:rsid w:val="00653625"/>
    <w:rsid w:val="006545BA"/>
    <w:rsid w:val="00655769"/>
    <w:rsid w:val="006614E2"/>
    <w:rsid w:val="00663C34"/>
    <w:rsid w:val="00666B33"/>
    <w:rsid w:val="0067005D"/>
    <w:rsid w:val="00680F73"/>
    <w:rsid w:val="00683D35"/>
    <w:rsid w:val="00685FF3"/>
    <w:rsid w:val="00692E76"/>
    <w:rsid w:val="006A042F"/>
    <w:rsid w:val="006A145C"/>
    <w:rsid w:val="006C3266"/>
    <w:rsid w:val="006C3706"/>
    <w:rsid w:val="00701EE6"/>
    <w:rsid w:val="00706251"/>
    <w:rsid w:val="00710A8D"/>
    <w:rsid w:val="00722B24"/>
    <w:rsid w:val="00727C4C"/>
    <w:rsid w:val="0074753B"/>
    <w:rsid w:val="00757BEE"/>
    <w:rsid w:val="007657E7"/>
    <w:rsid w:val="00777ED1"/>
    <w:rsid w:val="0078309C"/>
    <w:rsid w:val="00790DF7"/>
    <w:rsid w:val="007A6217"/>
    <w:rsid w:val="007B1FDE"/>
    <w:rsid w:val="007C3E49"/>
    <w:rsid w:val="007D3643"/>
    <w:rsid w:val="007D4BD2"/>
    <w:rsid w:val="007E04FB"/>
    <w:rsid w:val="00810AA3"/>
    <w:rsid w:val="00812930"/>
    <w:rsid w:val="00815DBA"/>
    <w:rsid w:val="00822728"/>
    <w:rsid w:val="00843989"/>
    <w:rsid w:val="00846FBE"/>
    <w:rsid w:val="008573D2"/>
    <w:rsid w:val="00863F12"/>
    <w:rsid w:val="008642F7"/>
    <w:rsid w:val="00877ABB"/>
    <w:rsid w:val="0088037E"/>
    <w:rsid w:val="00890684"/>
    <w:rsid w:val="008A5155"/>
    <w:rsid w:val="008B3759"/>
    <w:rsid w:val="008B3C82"/>
    <w:rsid w:val="008D000F"/>
    <w:rsid w:val="008E2442"/>
    <w:rsid w:val="008E450C"/>
    <w:rsid w:val="008E7A2E"/>
    <w:rsid w:val="008F3632"/>
    <w:rsid w:val="009027ED"/>
    <w:rsid w:val="00902E44"/>
    <w:rsid w:val="00914187"/>
    <w:rsid w:val="009152E2"/>
    <w:rsid w:val="00915BB8"/>
    <w:rsid w:val="00920B62"/>
    <w:rsid w:val="00941024"/>
    <w:rsid w:val="00945168"/>
    <w:rsid w:val="00965B20"/>
    <w:rsid w:val="00986522"/>
    <w:rsid w:val="00991311"/>
    <w:rsid w:val="00995632"/>
    <w:rsid w:val="009977A3"/>
    <w:rsid w:val="009D110B"/>
    <w:rsid w:val="009D2407"/>
    <w:rsid w:val="009E5FEB"/>
    <w:rsid w:val="009F333E"/>
    <w:rsid w:val="009F474A"/>
    <w:rsid w:val="00A02FED"/>
    <w:rsid w:val="00A056EA"/>
    <w:rsid w:val="00A1589D"/>
    <w:rsid w:val="00A161F0"/>
    <w:rsid w:val="00A336F1"/>
    <w:rsid w:val="00A35083"/>
    <w:rsid w:val="00A35BBF"/>
    <w:rsid w:val="00A4205F"/>
    <w:rsid w:val="00A55F99"/>
    <w:rsid w:val="00A561EC"/>
    <w:rsid w:val="00A67E12"/>
    <w:rsid w:val="00A7639C"/>
    <w:rsid w:val="00A97DB9"/>
    <w:rsid w:val="00AC27CA"/>
    <w:rsid w:val="00AF36AC"/>
    <w:rsid w:val="00B032F3"/>
    <w:rsid w:val="00B12417"/>
    <w:rsid w:val="00B2653C"/>
    <w:rsid w:val="00B508A7"/>
    <w:rsid w:val="00B64377"/>
    <w:rsid w:val="00B658F2"/>
    <w:rsid w:val="00B7127E"/>
    <w:rsid w:val="00BA481E"/>
    <w:rsid w:val="00BB7841"/>
    <w:rsid w:val="00BC0C9B"/>
    <w:rsid w:val="00BD765A"/>
    <w:rsid w:val="00BE24FF"/>
    <w:rsid w:val="00BE316B"/>
    <w:rsid w:val="00BE36C3"/>
    <w:rsid w:val="00BF1A1F"/>
    <w:rsid w:val="00BF1B62"/>
    <w:rsid w:val="00BF74EC"/>
    <w:rsid w:val="00C119A2"/>
    <w:rsid w:val="00C15F4B"/>
    <w:rsid w:val="00C2644B"/>
    <w:rsid w:val="00C347D3"/>
    <w:rsid w:val="00C44927"/>
    <w:rsid w:val="00C54989"/>
    <w:rsid w:val="00C64388"/>
    <w:rsid w:val="00C81D4A"/>
    <w:rsid w:val="00C83D08"/>
    <w:rsid w:val="00C9484E"/>
    <w:rsid w:val="00C974B1"/>
    <w:rsid w:val="00CB0E0E"/>
    <w:rsid w:val="00CC014D"/>
    <w:rsid w:val="00CC38AE"/>
    <w:rsid w:val="00CC432F"/>
    <w:rsid w:val="00CD1C20"/>
    <w:rsid w:val="00D16CA3"/>
    <w:rsid w:val="00D337A9"/>
    <w:rsid w:val="00D62CBF"/>
    <w:rsid w:val="00D840F2"/>
    <w:rsid w:val="00D849C4"/>
    <w:rsid w:val="00DA1D9D"/>
    <w:rsid w:val="00DB180A"/>
    <w:rsid w:val="00DC3A80"/>
    <w:rsid w:val="00DC5147"/>
    <w:rsid w:val="00DC796E"/>
    <w:rsid w:val="00DD22E1"/>
    <w:rsid w:val="00DE7317"/>
    <w:rsid w:val="00DF0005"/>
    <w:rsid w:val="00DF7760"/>
    <w:rsid w:val="00E02C9D"/>
    <w:rsid w:val="00E23F36"/>
    <w:rsid w:val="00E25F4B"/>
    <w:rsid w:val="00E26792"/>
    <w:rsid w:val="00E43444"/>
    <w:rsid w:val="00E43B2B"/>
    <w:rsid w:val="00E4632E"/>
    <w:rsid w:val="00E52C2F"/>
    <w:rsid w:val="00E56B00"/>
    <w:rsid w:val="00E6344C"/>
    <w:rsid w:val="00E66847"/>
    <w:rsid w:val="00E72C38"/>
    <w:rsid w:val="00E839CF"/>
    <w:rsid w:val="00EB289F"/>
    <w:rsid w:val="00ED5ABC"/>
    <w:rsid w:val="00ED5DAE"/>
    <w:rsid w:val="00ED66A3"/>
    <w:rsid w:val="00EE09D2"/>
    <w:rsid w:val="00F10BAD"/>
    <w:rsid w:val="00F12E83"/>
    <w:rsid w:val="00F15F47"/>
    <w:rsid w:val="00F17F59"/>
    <w:rsid w:val="00F35011"/>
    <w:rsid w:val="00F45A24"/>
    <w:rsid w:val="00F60C6B"/>
    <w:rsid w:val="00F64889"/>
    <w:rsid w:val="00F7270C"/>
    <w:rsid w:val="00F778CC"/>
    <w:rsid w:val="00F85B15"/>
    <w:rsid w:val="00FA06AF"/>
    <w:rsid w:val="00FA386E"/>
    <w:rsid w:val="00FC4A9E"/>
    <w:rsid w:val="00FD2B00"/>
    <w:rsid w:val="00FF37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9AA24"/>
  <w15:docId w15:val="{FB8227CC-DC69-49FD-A4AC-89DBF7B5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before="240" w:after="60" w:line="360" w:lineRule="auto"/>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F47"/>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8E7A2E"/>
    <w:pPr>
      <w:keepNext/>
      <w:keepLines/>
      <w:numPr>
        <w:numId w:val="1"/>
      </w:numPr>
      <w:spacing w:after="240" w:line="24" w:lineRule="atLeast"/>
      <w:ind w:left="425" w:hanging="425"/>
      <w:outlineLvl w:val="0"/>
    </w:pPr>
    <w:rPr>
      <w:rFonts w:eastAsia="Times New Roman" w:cstheme="minorHAnsi"/>
      <w:b/>
      <w:color w:val="000000"/>
      <w:sz w:val="24"/>
      <w:szCs w:val="24"/>
    </w:rPr>
  </w:style>
  <w:style w:type="paragraph" w:styleId="Nagwek2">
    <w:name w:val="heading 2"/>
    <w:basedOn w:val="Normalny"/>
    <w:next w:val="Normalny"/>
    <w:link w:val="Nagwek2Znak"/>
    <w:uiPriority w:val="9"/>
    <w:unhideWhenUsed/>
    <w:qFormat/>
    <w:rsid w:val="00B2653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A056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8E7A2E"/>
    <w:rPr>
      <w:rFonts w:eastAsia="Times New Roman" w:cstheme="minorHAnsi"/>
      <w:b/>
      <w:color w:val="000000"/>
      <w:sz w:val="24"/>
      <w:szCs w:val="24"/>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unhideWhenUsed/>
    <w:qFormat/>
    <w:rsid w:val="00CB0E0E"/>
    <w:rPr>
      <w:sz w:val="16"/>
      <w:szCs w:val="16"/>
    </w:rPr>
  </w:style>
  <w:style w:type="paragraph" w:styleId="Tekstkomentarza">
    <w:name w:val="annotation text"/>
    <w:aliases w:val="Znak, Znak"/>
    <w:basedOn w:val="Normalny"/>
    <w:link w:val="TekstkomentarzaZnak"/>
    <w:uiPriority w:val="99"/>
    <w:unhideWhenUsed/>
    <w:qFormat/>
    <w:rsid w:val="00CB0E0E"/>
    <w:pPr>
      <w:spacing w:line="240" w:lineRule="auto"/>
    </w:pPr>
    <w:rPr>
      <w:sz w:val="20"/>
      <w:szCs w:val="20"/>
    </w:rPr>
  </w:style>
  <w:style w:type="character" w:customStyle="1" w:styleId="TekstkomentarzaZnak">
    <w:name w:val="Tekst komentarza Znak"/>
    <w:aliases w:val="Znak Znak, Znak Znak"/>
    <w:basedOn w:val="Domylnaczcionkaakapitu"/>
    <w:link w:val="Tekstkomentarza"/>
    <w:uiPriority w:val="99"/>
    <w:qFormat/>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ind w:left="0" w:firstLine="0"/>
    </w:pPr>
    <w:rPr>
      <w:color w:val="auto"/>
      <w:sz w:val="24"/>
      <w:szCs w:val="24"/>
    </w:rPr>
  </w:style>
  <w:style w:type="character" w:customStyle="1" w:styleId="cf01">
    <w:name w:val="cf01"/>
    <w:basedOn w:val="Domylnaczcionkaakapitu"/>
    <w:rsid w:val="00822728"/>
    <w:rPr>
      <w:rFonts w:ascii="Segoe UI" w:hAnsi="Segoe UI" w:cs="Segoe UI" w:hint="default"/>
      <w:sz w:val="18"/>
      <w:szCs w:val="18"/>
    </w:rPr>
  </w:style>
  <w:style w:type="character" w:customStyle="1" w:styleId="Nierozpoznanawzmianka1">
    <w:name w:val="Nierozpoznana wzmianka1"/>
    <w:basedOn w:val="Domylnaczcionkaakapitu"/>
    <w:uiPriority w:val="99"/>
    <w:semiHidden/>
    <w:unhideWhenUsed/>
    <w:rsid w:val="00666B33"/>
    <w:rPr>
      <w:color w:val="605E5C"/>
      <w:shd w:val="clear" w:color="auto" w:fill="E1DFDD"/>
    </w:rPr>
  </w:style>
  <w:style w:type="character" w:customStyle="1" w:styleId="Nagwek2Znak">
    <w:name w:val="Nagłówek 2 Znak"/>
    <w:basedOn w:val="Domylnaczcionkaakapitu"/>
    <w:link w:val="Nagwek2"/>
    <w:uiPriority w:val="9"/>
    <w:rsid w:val="00B2653C"/>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A056EA"/>
    <w:rPr>
      <w:rFonts w:asciiTheme="majorHAnsi" w:eastAsiaTheme="majorEastAsia" w:hAnsiTheme="majorHAnsi" w:cstheme="majorBidi"/>
      <w:color w:val="1F4D78" w:themeColor="accent1" w:themeShade="7F"/>
      <w:sz w:val="24"/>
      <w:szCs w:val="24"/>
    </w:rPr>
  </w:style>
  <w:style w:type="paragraph" w:styleId="Stopka">
    <w:name w:val="footer"/>
    <w:basedOn w:val="Normalny"/>
    <w:link w:val="StopkaZnak"/>
    <w:uiPriority w:val="99"/>
    <w:unhideWhenUsed/>
    <w:rsid w:val="00501A64"/>
    <w:pPr>
      <w:tabs>
        <w:tab w:val="center" w:pos="4680"/>
        <w:tab w:val="right" w:pos="9360"/>
      </w:tabs>
      <w:spacing w:before="0" w:after="0" w:line="240" w:lineRule="auto"/>
      <w:ind w:left="0" w:firstLine="0"/>
    </w:pPr>
    <w:rPr>
      <w:rFonts w:asciiTheme="minorHAnsi" w:eastAsiaTheme="minorEastAsia" w:hAnsiTheme="minorHAnsi"/>
      <w:color w:val="auto"/>
      <w:sz w:val="22"/>
    </w:rPr>
  </w:style>
  <w:style w:type="character" w:customStyle="1" w:styleId="StopkaZnak">
    <w:name w:val="Stopka Znak"/>
    <w:basedOn w:val="Domylnaczcionkaakapitu"/>
    <w:link w:val="Stopka"/>
    <w:uiPriority w:val="99"/>
    <w:rsid w:val="00501A64"/>
    <w:rPr>
      <w:rFonts w:cs="Times New Roman"/>
    </w:rPr>
  </w:style>
  <w:style w:type="paragraph" w:styleId="Tytu">
    <w:name w:val="Title"/>
    <w:basedOn w:val="Normalny"/>
    <w:next w:val="Normalny"/>
    <w:link w:val="TytuZnak"/>
    <w:uiPriority w:val="10"/>
    <w:qFormat/>
    <w:rsid w:val="005007A7"/>
    <w:pPr>
      <w:spacing w:before="0" w:after="0"/>
      <w:contextualSpacing/>
      <w:jc w:val="center"/>
    </w:pPr>
    <w:rPr>
      <w:rFonts w:ascii="Calibri" w:eastAsiaTheme="majorEastAsia" w:hAnsi="Calibri" w:cstheme="majorBidi"/>
      <w:color w:val="auto"/>
      <w:spacing w:val="-10"/>
      <w:kern w:val="28"/>
      <w:sz w:val="32"/>
      <w:szCs w:val="56"/>
    </w:rPr>
  </w:style>
  <w:style w:type="character" w:customStyle="1" w:styleId="TytuZnak">
    <w:name w:val="Tytuł Znak"/>
    <w:basedOn w:val="Domylnaczcionkaakapitu"/>
    <w:link w:val="Tytu"/>
    <w:uiPriority w:val="10"/>
    <w:rsid w:val="005007A7"/>
    <w:rPr>
      <w:rFonts w:ascii="Calibri" w:eastAsiaTheme="majorEastAsia" w:hAnsi="Calibri" w:cstheme="majorBidi"/>
      <w:spacing w:val="-10"/>
      <w:kern w:val="28"/>
      <w:sz w:val="32"/>
      <w:szCs w:val="56"/>
    </w:rPr>
  </w:style>
  <w:style w:type="character" w:customStyle="1" w:styleId="Nierozpoznanawzmianka2">
    <w:name w:val="Nierozpoznana wzmianka2"/>
    <w:basedOn w:val="Domylnaczcionkaakapitu"/>
    <w:uiPriority w:val="99"/>
    <w:semiHidden/>
    <w:unhideWhenUsed/>
    <w:rsid w:val="00BE24FF"/>
    <w:rPr>
      <w:color w:val="605E5C"/>
      <w:shd w:val="clear" w:color="auto" w:fill="E1DFDD"/>
    </w:rPr>
  </w:style>
  <w:style w:type="character" w:customStyle="1" w:styleId="Nierozpoznanawzmianka3">
    <w:name w:val="Nierozpoznana wzmianka3"/>
    <w:basedOn w:val="Domylnaczcionkaakapitu"/>
    <w:uiPriority w:val="99"/>
    <w:semiHidden/>
    <w:unhideWhenUsed/>
    <w:rsid w:val="000A65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5275/Wytyczne_PI_i_PH_21_27_5.pdf" TargetMode="External"/><Relationship Id="rId13" Type="http://schemas.openxmlformats.org/officeDocument/2006/relationships/hyperlink" Target="http://archiwum.ekoportal.gov.pl/prawo_dokumenty_strategiczne/PolitykaOchronySrodowiskaUE/CeleZasadyPrawoOchronySrodUE.html" TargetMode="External"/><Relationship Id="rId18" Type="http://schemas.openxmlformats.org/officeDocument/2006/relationships/hyperlink" Target="https://eur-lex.europa.eu/legal-content/PL/TXT/?uri=uriserv%3AOJ.C_.2021.373.01.0001.01.POL&amp;toc=OJ%3AC%3A2021%3A373%3AFUL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klimada2.ios.gov.pl/wp-content/uploads/2022/12/IOS-PIB_Zmiany-klimatu-i-adaptacja-do-zmian-klimatu-w-ocenach-oddzialywania-na-srodowisko.-PODRECZNIK-1-skompresowany.pdf" TargetMode="External"/><Relationship Id="rId7" Type="http://schemas.openxmlformats.org/officeDocument/2006/relationships/endnotes" Target="endnotes.xml"/><Relationship Id="rId12" Type="http://schemas.openxmlformats.org/officeDocument/2006/relationships/hyperlink" Target="https://www.pois.gov.pl/media/108045/ocena_DNSH_FEnIKS_2021-2027.pdf" TargetMode="External"/><Relationship Id="rId17" Type="http://schemas.openxmlformats.org/officeDocument/2006/relationships/hyperlink" Target="https://ec.europa.eu/environment/nature/natura2000/management/docs/art6/PL_art_6_guide_jun_2019.p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c.europa.eu/environment/nature/natura2000/management/docs/art6/natura_2000_assess_pl.pdf" TargetMode="External"/><Relationship Id="rId20" Type="http://schemas.openxmlformats.org/officeDocument/2006/relationships/hyperlink" Target="https://klimada2.ios.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planodbudowy/dnsh2"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eur-lex.europa.eu/legal-content/PL/TXT/PDF/?uri=CELEX%3A52021XC0218%2801%29&amp;from=EN" TargetMode="External"/><Relationship Id="rId19" Type="http://schemas.openxmlformats.org/officeDocument/2006/relationships/hyperlink" Target="https://www.ipcc.ch/report/sixth-assessment-report-cycle/).%20" TargetMode="External"/><Relationship Id="rId4" Type="http://schemas.openxmlformats.org/officeDocument/2006/relationships/settings" Target="settings.xml"/><Relationship Id="rId9" Type="http://schemas.openxmlformats.org/officeDocument/2006/relationships/hyperlink" Target="https://www.funduszeeuropejskie.gov.pl/media/119589/Metodyka-zastosowania-kryterium-dostepnosci-cenowej-w-projektach-inwestycyjnych-z-dofinansowaniem-UE-2.pdf" TargetMode="External"/><Relationship Id="rId14" Type="http://schemas.openxmlformats.org/officeDocument/2006/relationships/hyperlink" Target="http://eur-lex.europa.eu/legal-content/PL/TXT/?uri=celex:52000DC0001" TargetMode="External"/><Relationship Id="rId22" Type="http://schemas.openxmlformats.org/officeDocument/2006/relationships/hyperlink" Target="https://eur-lex.europa.eu/legal-content/PL/TXT/HTML/?uri=OJ:C:2021:373:FULL&amp;from=EN"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5D3B5-26A4-4B95-A1FD-77B1EA312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22</Pages>
  <Words>5421</Words>
  <Characters>32529</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Zał 1 do Instrukcji - Zakres SW</vt:lpstr>
    </vt:vector>
  </TitlesOfParts>
  <Company>NFOSiGW</Company>
  <LinksUpToDate>false</LinksUpToDate>
  <CharactersWithSpaces>37875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1 do Instrukcji - Zakres SW</dc:title>
  <dc:subject/>
  <dc:creator>marcin_bialek</dc:creator>
  <cp:keywords/>
  <dc:description/>
  <cp:lastModifiedBy>Janicka-Struska Agnieszka</cp:lastModifiedBy>
  <cp:revision>14</cp:revision>
  <cp:lastPrinted>2023-08-16T05:11:00Z</cp:lastPrinted>
  <dcterms:created xsi:type="dcterms:W3CDTF">2023-09-19T11:05:00Z</dcterms:created>
  <dcterms:modified xsi:type="dcterms:W3CDTF">2023-10-27T15:31:00Z</dcterms:modified>
</cp:coreProperties>
</file>